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07E05" w14:textId="77777777" w:rsidR="00F84D16" w:rsidRDefault="00F84D16" w:rsidP="00F84D16">
      <w:pPr>
        <w:pStyle w:val="Subtitle"/>
        <w:jc w:val="center"/>
      </w:pPr>
      <w:bookmarkStart w:id="0" w:name="_GoBack"/>
      <w:bookmarkEnd w:id="0"/>
      <w:r>
        <w:t>Student Name: Adam Garnett</w:t>
      </w:r>
    </w:p>
    <w:p w14:paraId="564F3F36" w14:textId="77777777" w:rsidR="00F84D16" w:rsidRDefault="00F84D16" w:rsidP="00F84D16">
      <w:pPr>
        <w:pStyle w:val="Subtitle"/>
        <w:jc w:val="center"/>
      </w:pPr>
      <w:r>
        <w:t>Institution: University of Winchester</w:t>
      </w:r>
    </w:p>
    <w:p w14:paraId="3938D9B4" w14:textId="6D66AF6A" w:rsidR="00F84D16" w:rsidRDefault="008F07AD" w:rsidP="00F84D16">
      <w:pPr>
        <w:pStyle w:val="Subtitle"/>
        <w:jc w:val="center"/>
      </w:pPr>
      <w:r>
        <w:t>Course Level: 5</w:t>
      </w:r>
    </w:p>
    <w:p w14:paraId="3068C215" w14:textId="77777777" w:rsidR="00F84D16" w:rsidRDefault="00F84D16" w:rsidP="00F84D16">
      <w:pPr>
        <w:pStyle w:val="Title"/>
        <w:jc w:val="center"/>
      </w:pPr>
      <w:r>
        <w:t>An Analysis of Sustainability Concerns and Business Responses in the Electricity Generation Sector in the United Kingdom</w:t>
      </w:r>
    </w:p>
    <w:p w14:paraId="4E4138D5" w14:textId="1961302F" w:rsidR="00F84D16" w:rsidRDefault="00F84D16" w:rsidP="00F84D16"/>
    <w:p w14:paraId="40823C1D" w14:textId="0389D67E" w:rsidR="00736DDD" w:rsidRPr="00F84D16" w:rsidRDefault="00736DDD" w:rsidP="00736DDD">
      <w:pPr>
        <w:pStyle w:val="Subtitle"/>
        <w:jc w:val="center"/>
      </w:pPr>
      <w:r>
        <w:t>Word Count: 2745</w:t>
      </w:r>
    </w:p>
    <w:p w14:paraId="5504951F" w14:textId="77777777" w:rsidR="00F84D16" w:rsidRDefault="00F84D16" w:rsidP="00F84D16">
      <w:pPr>
        <w:pStyle w:val="Subtitle"/>
        <w:jc w:val="center"/>
      </w:pPr>
      <w:r>
        <w:t>Category of Entry: Undergraduate Student</w:t>
      </w:r>
    </w:p>
    <w:p w14:paraId="1D3C78C8" w14:textId="1EA730A1" w:rsidR="002D5B1C" w:rsidRDefault="002D5B1C" w:rsidP="004E54AC">
      <w:pPr>
        <w:pStyle w:val="Subtitle"/>
        <w:jc w:val="center"/>
      </w:pPr>
    </w:p>
    <w:p w14:paraId="5B18DFC5" w14:textId="5266B76C" w:rsidR="00506D2B" w:rsidRDefault="009954B2" w:rsidP="008D150A">
      <w:pPr>
        <w:spacing w:line="360" w:lineRule="auto"/>
        <w:jc w:val="center"/>
      </w:pPr>
      <w:r w:rsidRPr="009954B2">
        <w:rPr>
          <w:noProof/>
          <w:lang w:eastAsia="en-GB"/>
        </w:rPr>
        <w:drawing>
          <wp:inline distT="0" distB="0" distL="0" distR="0" wp14:anchorId="532F346D" wp14:editId="66799314">
            <wp:extent cx="5731510" cy="38182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818255"/>
                    </a:xfrm>
                    <a:prstGeom prst="rect">
                      <a:avLst/>
                    </a:prstGeom>
                  </pic:spPr>
                </pic:pic>
              </a:graphicData>
            </a:graphic>
          </wp:inline>
        </w:drawing>
      </w:r>
    </w:p>
    <w:p w14:paraId="4ED96C16" w14:textId="09E978F1" w:rsidR="009954B2" w:rsidRPr="003560E7" w:rsidRDefault="00DF5BD5" w:rsidP="008D150A">
      <w:pPr>
        <w:spacing w:line="360" w:lineRule="auto"/>
        <w:jc w:val="center"/>
      </w:pPr>
      <w:r>
        <w:t xml:space="preserve">Image: </w:t>
      </w:r>
      <w:r w:rsidR="003560E7">
        <w:rPr>
          <w:i/>
          <w:iCs/>
        </w:rPr>
        <w:t>The Connexion</w:t>
      </w:r>
      <w:r w:rsidR="003560E7">
        <w:t>,</w:t>
      </w:r>
      <w:r w:rsidR="003560E7">
        <w:rPr>
          <w:i/>
          <w:iCs/>
        </w:rPr>
        <w:t xml:space="preserve"> </w:t>
      </w:r>
      <w:r w:rsidR="003560E7">
        <w:t>2021</w:t>
      </w:r>
      <w:r w:rsidR="00EA4212">
        <w:t>[Online]</w:t>
      </w:r>
    </w:p>
    <w:p w14:paraId="5A723216" w14:textId="69F86E53" w:rsidR="009954B2" w:rsidRDefault="009954B2" w:rsidP="008D150A">
      <w:pPr>
        <w:spacing w:line="360" w:lineRule="auto"/>
        <w:jc w:val="center"/>
      </w:pPr>
    </w:p>
    <w:p w14:paraId="65ED143B" w14:textId="70137BC6" w:rsidR="009954B2" w:rsidRDefault="009954B2" w:rsidP="000310D9">
      <w:pPr>
        <w:spacing w:line="360" w:lineRule="auto"/>
      </w:pPr>
    </w:p>
    <w:p w14:paraId="742A0751" w14:textId="508ED673" w:rsidR="000310D9" w:rsidRPr="000310D9" w:rsidRDefault="001B781F" w:rsidP="00C4511B">
      <w:pPr>
        <w:pStyle w:val="Heading1"/>
      </w:pPr>
      <w:bookmarkStart w:id="1" w:name="_Toc94190410"/>
      <w:r>
        <w:lastRenderedPageBreak/>
        <w:t>Abstract</w:t>
      </w:r>
      <w:bookmarkEnd w:id="1"/>
    </w:p>
    <w:p w14:paraId="13F7D250" w14:textId="4500274E" w:rsidR="001B781F" w:rsidRPr="000310D9" w:rsidRDefault="000310D9" w:rsidP="000310D9">
      <w:pPr>
        <w:spacing w:line="360" w:lineRule="auto"/>
      </w:pPr>
      <w:r>
        <w:t xml:space="preserve">Electricity generation is a critical aspect of modern </w:t>
      </w:r>
      <w:r w:rsidR="00F4020E">
        <w:t>life</w:t>
      </w:r>
      <w:r>
        <w:t xml:space="preserve">. While the UK imports energy from other countries, it </w:t>
      </w:r>
      <w:r w:rsidR="00F4020E">
        <w:t xml:space="preserve">remains </w:t>
      </w:r>
      <w:r>
        <w:t>responsible for 120 million tonnes of oil equivalent (</w:t>
      </w:r>
      <w:r>
        <w:rPr>
          <w:i/>
          <w:iCs/>
        </w:rPr>
        <w:t xml:space="preserve">IEA, </w:t>
      </w:r>
      <w:r>
        <w:t xml:space="preserve">2019). This report discusses </w:t>
      </w:r>
      <w:r w:rsidR="00C678D2">
        <w:t xml:space="preserve">the approach of companies within this sector to sustainability reporting and the practices that come </w:t>
      </w:r>
      <w:r w:rsidR="00F4020E">
        <w:t>because of</w:t>
      </w:r>
      <w:r w:rsidR="00C678D2">
        <w:t xml:space="preserve"> this. Business strategies and stakeholder relationships are core areas of analysis throughout the research. This report focusses its evaluations on the activities of Drax Group, SSE, and EDF Energy; three of the most prominent energy generation companies in the UK. Its findings suggest that a variety of frameworks are used</w:t>
      </w:r>
      <w:r w:rsidR="00F4020E">
        <w:t xml:space="preserve"> at different levels</w:t>
      </w:r>
      <w:r w:rsidR="00C678D2">
        <w:t xml:space="preserve">, including </w:t>
      </w:r>
      <w:r w:rsidR="00C4511B">
        <w:t>the SDGs and the UN Global Compact.</w:t>
      </w:r>
      <w:r w:rsidR="00F4020E">
        <w:t xml:space="preserve"> </w:t>
      </w:r>
      <w:r w:rsidR="00C4511B">
        <w:t xml:space="preserve">The report concludes with the suggestion that the electricity generation sector recognises the importance of sustainability within their operations, however the response of companies to the 2008 Climate Change act cannot yet be described as widespread and significant. </w:t>
      </w:r>
    </w:p>
    <w:sdt>
      <w:sdtPr>
        <w:rPr>
          <w:rFonts w:asciiTheme="minorHAnsi" w:eastAsiaTheme="minorHAnsi" w:hAnsiTheme="minorHAnsi" w:cstheme="minorBidi"/>
          <w:color w:val="auto"/>
          <w:sz w:val="22"/>
          <w:szCs w:val="22"/>
        </w:rPr>
        <w:id w:val="80493918"/>
        <w:docPartObj>
          <w:docPartGallery w:val="Table of Contents"/>
          <w:docPartUnique/>
        </w:docPartObj>
      </w:sdtPr>
      <w:sdtEndPr>
        <w:rPr>
          <w:rFonts w:ascii="Arial" w:hAnsi="Arial"/>
          <w:b/>
          <w:bCs/>
          <w:noProof/>
          <w:sz w:val="24"/>
        </w:rPr>
      </w:sdtEndPr>
      <w:sdtContent>
        <w:p w14:paraId="3DD2B15D" w14:textId="10259765" w:rsidR="001B781F" w:rsidRDefault="001B781F">
          <w:pPr>
            <w:pStyle w:val="TOCHeading"/>
          </w:pPr>
          <w:r>
            <w:t>Table of Contents</w:t>
          </w:r>
        </w:p>
        <w:p w14:paraId="441013DC" w14:textId="59838D98" w:rsidR="00F4020E" w:rsidRDefault="001B781F">
          <w:pPr>
            <w:pStyle w:val="TOC1"/>
            <w:rPr>
              <w:rFonts w:asciiTheme="minorHAnsi" w:eastAsiaTheme="minorEastAsia" w:hAnsiTheme="minorHAnsi" w:cstheme="minorBidi"/>
              <w:b w:val="0"/>
              <w:bCs w:val="0"/>
              <w:noProof/>
              <w:sz w:val="24"/>
              <w:szCs w:val="24"/>
              <w:lang w:eastAsia="en-GB"/>
            </w:rPr>
          </w:pPr>
          <w:r>
            <w:fldChar w:fldCharType="begin"/>
          </w:r>
          <w:r>
            <w:instrText xml:space="preserve"> TOC \o "1-3" \h \z \u </w:instrText>
          </w:r>
          <w:r>
            <w:fldChar w:fldCharType="separate"/>
          </w:r>
          <w:hyperlink w:anchor="_Toc94190410" w:history="1">
            <w:r w:rsidR="00F4020E" w:rsidRPr="00865626">
              <w:rPr>
                <w:rStyle w:val="Hyperlink"/>
                <w:noProof/>
              </w:rPr>
              <w:t>Abstract</w:t>
            </w:r>
            <w:r w:rsidR="00F4020E">
              <w:rPr>
                <w:noProof/>
                <w:webHidden/>
              </w:rPr>
              <w:tab/>
            </w:r>
            <w:r w:rsidR="00F4020E">
              <w:rPr>
                <w:noProof/>
                <w:webHidden/>
              </w:rPr>
              <w:fldChar w:fldCharType="begin"/>
            </w:r>
            <w:r w:rsidR="00F4020E">
              <w:rPr>
                <w:noProof/>
                <w:webHidden/>
              </w:rPr>
              <w:instrText xml:space="preserve"> PAGEREF _Toc94190410 \h </w:instrText>
            </w:r>
            <w:r w:rsidR="00F4020E">
              <w:rPr>
                <w:noProof/>
                <w:webHidden/>
              </w:rPr>
            </w:r>
            <w:r w:rsidR="00F4020E">
              <w:rPr>
                <w:noProof/>
                <w:webHidden/>
              </w:rPr>
              <w:fldChar w:fldCharType="separate"/>
            </w:r>
            <w:r w:rsidR="00F4020E">
              <w:rPr>
                <w:noProof/>
                <w:webHidden/>
              </w:rPr>
              <w:t>2</w:t>
            </w:r>
            <w:r w:rsidR="00F4020E">
              <w:rPr>
                <w:noProof/>
                <w:webHidden/>
              </w:rPr>
              <w:fldChar w:fldCharType="end"/>
            </w:r>
          </w:hyperlink>
        </w:p>
        <w:p w14:paraId="37D6C174" w14:textId="1F018ECD" w:rsidR="00F4020E" w:rsidRDefault="0069291A">
          <w:pPr>
            <w:pStyle w:val="TOC1"/>
            <w:tabs>
              <w:tab w:val="left" w:pos="440"/>
            </w:tabs>
            <w:rPr>
              <w:rFonts w:asciiTheme="minorHAnsi" w:eastAsiaTheme="minorEastAsia" w:hAnsiTheme="minorHAnsi" w:cstheme="minorBidi"/>
              <w:b w:val="0"/>
              <w:bCs w:val="0"/>
              <w:noProof/>
              <w:sz w:val="24"/>
              <w:szCs w:val="24"/>
              <w:lang w:eastAsia="en-GB"/>
            </w:rPr>
          </w:pPr>
          <w:hyperlink w:anchor="_Toc94190411" w:history="1">
            <w:r w:rsidR="00F4020E" w:rsidRPr="00865626">
              <w:rPr>
                <w:rStyle w:val="Hyperlink"/>
                <w:noProof/>
              </w:rPr>
              <w:t>1.</w:t>
            </w:r>
            <w:r w:rsidR="00F4020E">
              <w:rPr>
                <w:rFonts w:asciiTheme="minorHAnsi" w:eastAsiaTheme="minorEastAsia" w:hAnsiTheme="minorHAnsi" w:cstheme="minorBidi"/>
                <w:b w:val="0"/>
                <w:bCs w:val="0"/>
                <w:noProof/>
                <w:sz w:val="24"/>
                <w:szCs w:val="24"/>
                <w:lang w:eastAsia="en-GB"/>
              </w:rPr>
              <w:tab/>
            </w:r>
            <w:r w:rsidR="00F4020E" w:rsidRPr="00865626">
              <w:rPr>
                <w:rStyle w:val="Hyperlink"/>
                <w:noProof/>
              </w:rPr>
              <w:t>Introduction</w:t>
            </w:r>
            <w:r w:rsidR="00F4020E">
              <w:rPr>
                <w:noProof/>
                <w:webHidden/>
              </w:rPr>
              <w:tab/>
            </w:r>
            <w:r w:rsidR="00F4020E">
              <w:rPr>
                <w:noProof/>
                <w:webHidden/>
              </w:rPr>
              <w:fldChar w:fldCharType="begin"/>
            </w:r>
            <w:r w:rsidR="00F4020E">
              <w:rPr>
                <w:noProof/>
                <w:webHidden/>
              </w:rPr>
              <w:instrText xml:space="preserve"> PAGEREF _Toc94190411 \h </w:instrText>
            </w:r>
            <w:r w:rsidR="00F4020E">
              <w:rPr>
                <w:noProof/>
                <w:webHidden/>
              </w:rPr>
            </w:r>
            <w:r w:rsidR="00F4020E">
              <w:rPr>
                <w:noProof/>
                <w:webHidden/>
              </w:rPr>
              <w:fldChar w:fldCharType="separate"/>
            </w:r>
            <w:r w:rsidR="00F4020E">
              <w:rPr>
                <w:noProof/>
                <w:webHidden/>
              </w:rPr>
              <w:t>3</w:t>
            </w:r>
            <w:r w:rsidR="00F4020E">
              <w:rPr>
                <w:noProof/>
                <w:webHidden/>
              </w:rPr>
              <w:fldChar w:fldCharType="end"/>
            </w:r>
          </w:hyperlink>
        </w:p>
        <w:p w14:paraId="44C85383" w14:textId="4E70E169" w:rsidR="00F4020E" w:rsidRDefault="0069291A">
          <w:pPr>
            <w:pStyle w:val="TOC1"/>
            <w:tabs>
              <w:tab w:val="left" w:pos="440"/>
            </w:tabs>
            <w:rPr>
              <w:rFonts w:asciiTheme="minorHAnsi" w:eastAsiaTheme="minorEastAsia" w:hAnsiTheme="minorHAnsi" w:cstheme="minorBidi"/>
              <w:b w:val="0"/>
              <w:bCs w:val="0"/>
              <w:noProof/>
              <w:sz w:val="24"/>
              <w:szCs w:val="24"/>
              <w:lang w:eastAsia="en-GB"/>
            </w:rPr>
          </w:pPr>
          <w:hyperlink w:anchor="_Toc94190412" w:history="1">
            <w:r w:rsidR="00F4020E" w:rsidRPr="00865626">
              <w:rPr>
                <w:rStyle w:val="Hyperlink"/>
                <w:rFonts w:cs="Arial"/>
                <w:noProof/>
              </w:rPr>
              <w:t>2.</w:t>
            </w:r>
            <w:r w:rsidR="00F4020E">
              <w:rPr>
                <w:rFonts w:asciiTheme="minorHAnsi" w:eastAsiaTheme="minorEastAsia" w:hAnsiTheme="minorHAnsi" w:cstheme="minorBidi"/>
                <w:b w:val="0"/>
                <w:bCs w:val="0"/>
                <w:noProof/>
                <w:sz w:val="24"/>
                <w:szCs w:val="24"/>
                <w:lang w:eastAsia="en-GB"/>
              </w:rPr>
              <w:tab/>
            </w:r>
            <w:r w:rsidR="00F4020E" w:rsidRPr="00865626">
              <w:rPr>
                <w:rStyle w:val="Hyperlink"/>
                <w:rFonts w:cs="Arial"/>
                <w:noProof/>
              </w:rPr>
              <w:t>Sector Opportunities and Constraints for Sustainability Management</w:t>
            </w:r>
            <w:r w:rsidR="00F4020E">
              <w:rPr>
                <w:noProof/>
                <w:webHidden/>
              </w:rPr>
              <w:tab/>
            </w:r>
            <w:r w:rsidR="00F4020E">
              <w:rPr>
                <w:noProof/>
                <w:webHidden/>
              </w:rPr>
              <w:fldChar w:fldCharType="begin"/>
            </w:r>
            <w:r w:rsidR="00F4020E">
              <w:rPr>
                <w:noProof/>
                <w:webHidden/>
              </w:rPr>
              <w:instrText xml:space="preserve"> PAGEREF _Toc94190412 \h </w:instrText>
            </w:r>
            <w:r w:rsidR="00F4020E">
              <w:rPr>
                <w:noProof/>
                <w:webHidden/>
              </w:rPr>
            </w:r>
            <w:r w:rsidR="00F4020E">
              <w:rPr>
                <w:noProof/>
                <w:webHidden/>
              </w:rPr>
              <w:fldChar w:fldCharType="separate"/>
            </w:r>
            <w:r w:rsidR="00F4020E">
              <w:rPr>
                <w:noProof/>
                <w:webHidden/>
              </w:rPr>
              <w:t>3</w:t>
            </w:r>
            <w:r w:rsidR="00F4020E">
              <w:rPr>
                <w:noProof/>
                <w:webHidden/>
              </w:rPr>
              <w:fldChar w:fldCharType="end"/>
            </w:r>
          </w:hyperlink>
        </w:p>
        <w:p w14:paraId="5438904C" w14:textId="16625A49" w:rsidR="00F4020E" w:rsidRDefault="0069291A">
          <w:pPr>
            <w:pStyle w:val="TOC2"/>
            <w:tabs>
              <w:tab w:val="left" w:pos="880"/>
              <w:tab w:val="right" w:leader="dot" w:pos="9016"/>
            </w:tabs>
            <w:rPr>
              <w:rFonts w:asciiTheme="minorHAnsi" w:eastAsiaTheme="minorEastAsia" w:hAnsiTheme="minorHAnsi" w:cstheme="minorBidi"/>
              <w:i w:val="0"/>
              <w:iCs w:val="0"/>
              <w:noProof/>
              <w:sz w:val="24"/>
              <w:szCs w:val="24"/>
              <w:lang w:eastAsia="en-GB"/>
            </w:rPr>
          </w:pPr>
          <w:hyperlink w:anchor="_Toc94190413" w:history="1">
            <w:r w:rsidR="00F4020E" w:rsidRPr="00865626">
              <w:rPr>
                <w:rStyle w:val="Hyperlink"/>
                <w:noProof/>
              </w:rPr>
              <w:t>2.1.</w:t>
            </w:r>
            <w:r w:rsidR="00F4020E">
              <w:rPr>
                <w:rFonts w:asciiTheme="minorHAnsi" w:eastAsiaTheme="minorEastAsia" w:hAnsiTheme="minorHAnsi" w:cstheme="minorBidi"/>
                <w:i w:val="0"/>
                <w:iCs w:val="0"/>
                <w:noProof/>
                <w:sz w:val="24"/>
                <w:szCs w:val="24"/>
                <w:lang w:eastAsia="en-GB"/>
              </w:rPr>
              <w:tab/>
            </w:r>
            <w:r w:rsidR="00F4020E" w:rsidRPr="00865626">
              <w:rPr>
                <w:rStyle w:val="Hyperlink"/>
                <w:noProof/>
              </w:rPr>
              <w:t>Stakeholder/Partnership Analysis</w:t>
            </w:r>
            <w:r w:rsidR="00F4020E">
              <w:rPr>
                <w:noProof/>
                <w:webHidden/>
              </w:rPr>
              <w:tab/>
            </w:r>
            <w:r w:rsidR="00F4020E">
              <w:rPr>
                <w:noProof/>
                <w:webHidden/>
              </w:rPr>
              <w:fldChar w:fldCharType="begin"/>
            </w:r>
            <w:r w:rsidR="00F4020E">
              <w:rPr>
                <w:noProof/>
                <w:webHidden/>
              </w:rPr>
              <w:instrText xml:space="preserve"> PAGEREF _Toc94190413 \h </w:instrText>
            </w:r>
            <w:r w:rsidR="00F4020E">
              <w:rPr>
                <w:noProof/>
                <w:webHidden/>
              </w:rPr>
            </w:r>
            <w:r w:rsidR="00F4020E">
              <w:rPr>
                <w:noProof/>
                <w:webHidden/>
              </w:rPr>
              <w:fldChar w:fldCharType="separate"/>
            </w:r>
            <w:r w:rsidR="00F4020E">
              <w:rPr>
                <w:noProof/>
                <w:webHidden/>
              </w:rPr>
              <w:t>3</w:t>
            </w:r>
            <w:r w:rsidR="00F4020E">
              <w:rPr>
                <w:noProof/>
                <w:webHidden/>
              </w:rPr>
              <w:fldChar w:fldCharType="end"/>
            </w:r>
          </w:hyperlink>
        </w:p>
        <w:p w14:paraId="190486EF" w14:textId="0148DFF7" w:rsidR="00F4020E" w:rsidRDefault="0069291A">
          <w:pPr>
            <w:pStyle w:val="TOC3"/>
            <w:tabs>
              <w:tab w:val="left" w:pos="1320"/>
              <w:tab w:val="right" w:leader="dot" w:pos="9016"/>
            </w:tabs>
            <w:rPr>
              <w:rFonts w:asciiTheme="minorHAnsi" w:eastAsiaTheme="minorEastAsia" w:hAnsiTheme="minorHAnsi" w:cstheme="minorBidi"/>
              <w:noProof/>
              <w:sz w:val="24"/>
              <w:szCs w:val="24"/>
              <w:lang w:eastAsia="en-GB"/>
            </w:rPr>
          </w:pPr>
          <w:hyperlink w:anchor="_Toc94190414" w:history="1">
            <w:r w:rsidR="00F4020E" w:rsidRPr="00865626">
              <w:rPr>
                <w:rStyle w:val="Hyperlink"/>
                <w:noProof/>
              </w:rPr>
              <w:t>2.1.1.</w:t>
            </w:r>
            <w:r w:rsidR="00F4020E">
              <w:rPr>
                <w:rFonts w:asciiTheme="minorHAnsi" w:eastAsiaTheme="minorEastAsia" w:hAnsiTheme="minorHAnsi" w:cstheme="minorBidi"/>
                <w:noProof/>
                <w:sz w:val="24"/>
                <w:szCs w:val="24"/>
                <w:lang w:eastAsia="en-GB"/>
              </w:rPr>
              <w:tab/>
            </w:r>
            <w:r w:rsidR="00F4020E" w:rsidRPr="00865626">
              <w:rPr>
                <w:rStyle w:val="Hyperlink"/>
                <w:noProof/>
              </w:rPr>
              <w:t>Governments/Regulations</w:t>
            </w:r>
            <w:r w:rsidR="00F4020E">
              <w:rPr>
                <w:noProof/>
                <w:webHidden/>
              </w:rPr>
              <w:tab/>
            </w:r>
            <w:r w:rsidR="00F4020E">
              <w:rPr>
                <w:noProof/>
                <w:webHidden/>
              </w:rPr>
              <w:fldChar w:fldCharType="begin"/>
            </w:r>
            <w:r w:rsidR="00F4020E">
              <w:rPr>
                <w:noProof/>
                <w:webHidden/>
              </w:rPr>
              <w:instrText xml:space="preserve"> PAGEREF _Toc94190414 \h </w:instrText>
            </w:r>
            <w:r w:rsidR="00F4020E">
              <w:rPr>
                <w:noProof/>
                <w:webHidden/>
              </w:rPr>
            </w:r>
            <w:r w:rsidR="00F4020E">
              <w:rPr>
                <w:noProof/>
                <w:webHidden/>
              </w:rPr>
              <w:fldChar w:fldCharType="separate"/>
            </w:r>
            <w:r w:rsidR="00F4020E">
              <w:rPr>
                <w:noProof/>
                <w:webHidden/>
              </w:rPr>
              <w:t>4</w:t>
            </w:r>
            <w:r w:rsidR="00F4020E">
              <w:rPr>
                <w:noProof/>
                <w:webHidden/>
              </w:rPr>
              <w:fldChar w:fldCharType="end"/>
            </w:r>
          </w:hyperlink>
        </w:p>
        <w:p w14:paraId="5DB931B3" w14:textId="03229303" w:rsidR="00F4020E" w:rsidRDefault="0069291A">
          <w:pPr>
            <w:pStyle w:val="TOC3"/>
            <w:tabs>
              <w:tab w:val="left" w:pos="1320"/>
              <w:tab w:val="right" w:leader="dot" w:pos="9016"/>
            </w:tabs>
            <w:rPr>
              <w:rFonts w:asciiTheme="minorHAnsi" w:eastAsiaTheme="minorEastAsia" w:hAnsiTheme="minorHAnsi" w:cstheme="minorBidi"/>
              <w:noProof/>
              <w:sz w:val="24"/>
              <w:szCs w:val="24"/>
              <w:lang w:eastAsia="en-GB"/>
            </w:rPr>
          </w:pPr>
          <w:hyperlink w:anchor="_Toc94190415" w:history="1">
            <w:r w:rsidR="00F4020E" w:rsidRPr="00865626">
              <w:rPr>
                <w:rStyle w:val="Hyperlink"/>
                <w:noProof/>
              </w:rPr>
              <w:t>2.1.2.</w:t>
            </w:r>
            <w:r w:rsidR="00F4020E">
              <w:rPr>
                <w:rFonts w:asciiTheme="minorHAnsi" w:eastAsiaTheme="minorEastAsia" w:hAnsiTheme="minorHAnsi" w:cstheme="minorBidi"/>
                <w:noProof/>
                <w:sz w:val="24"/>
                <w:szCs w:val="24"/>
                <w:lang w:eastAsia="en-GB"/>
              </w:rPr>
              <w:tab/>
            </w:r>
            <w:r w:rsidR="00F4020E" w:rsidRPr="00865626">
              <w:rPr>
                <w:rStyle w:val="Hyperlink"/>
                <w:noProof/>
              </w:rPr>
              <w:t>Civil Society</w:t>
            </w:r>
            <w:r w:rsidR="00F4020E">
              <w:rPr>
                <w:noProof/>
                <w:webHidden/>
              </w:rPr>
              <w:tab/>
            </w:r>
            <w:r w:rsidR="00F4020E">
              <w:rPr>
                <w:noProof/>
                <w:webHidden/>
              </w:rPr>
              <w:fldChar w:fldCharType="begin"/>
            </w:r>
            <w:r w:rsidR="00F4020E">
              <w:rPr>
                <w:noProof/>
                <w:webHidden/>
              </w:rPr>
              <w:instrText xml:space="preserve"> PAGEREF _Toc94190415 \h </w:instrText>
            </w:r>
            <w:r w:rsidR="00F4020E">
              <w:rPr>
                <w:noProof/>
                <w:webHidden/>
              </w:rPr>
            </w:r>
            <w:r w:rsidR="00F4020E">
              <w:rPr>
                <w:noProof/>
                <w:webHidden/>
              </w:rPr>
              <w:fldChar w:fldCharType="separate"/>
            </w:r>
            <w:r w:rsidR="00F4020E">
              <w:rPr>
                <w:noProof/>
                <w:webHidden/>
              </w:rPr>
              <w:t>4</w:t>
            </w:r>
            <w:r w:rsidR="00F4020E">
              <w:rPr>
                <w:noProof/>
                <w:webHidden/>
              </w:rPr>
              <w:fldChar w:fldCharType="end"/>
            </w:r>
          </w:hyperlink>
        </w:p>
        <w:p w14:paraId="24B486AE" w14:textId="073B2E47" w:rsidR="00F4020E" w:rsidRDefault="0069291A">
          <w:pPr>
            <w:pStyle w:val="TOC3"/>
            <w:tabs>
              <w:tab w:val="left" w:pos="1320"/>
              <w:tab w:val="right" w:leader="dot" w:pos="9016"/>
            </w:tabs>
            <w:rPr>
              <w:rFonts w:asciiTheme="minorHAnsi" w:eastAsiaTheme="minorEastAsia" w:hAnsiTheme="minorHAnsi" w:cstheme="minorBidi"/>
              <w:noProof/>
              <w:sz w:val="24"/>
              <w:szCs w:val="24"/>
              <w:lang w:eastAsia="en-GB"/>
            </w:rPr>
          </w:pPr>
          <w:hyperlink w:anchor="_Toc94190416" w:history="1">
            <w:r w:rsidR="00F4020E" w:rsidRPr="00865626">
              <w:rPr>
                <w:rStyle w:val="Hyperlink"/>
                <w:noProof/>
              </w:rPr>
              <w:t>2.1.3.</w:t>
            </w:r>
            <w:r w:rsidR="00F4020E">
              <w:rPr>
                <w:rFonts w:asciiTheme="minorHAnsi" w:eastAsiaTheme="minorEastAsia" w:hAnsiTheme="minorHAnsi" w:cstheme="minorBidi"/>
                <w:noProof/>
                <w:sz w:val="24"/>
                <w:szCs w:val="24"/>
                <w:lang w:eastAsia="en-GB"/>
              </w:rPr>
              <w:tab/>
            </w:r>
            <w:r w:rsidR="00F4020E" w:rsidRPr="00865626">
              <w:rPr>
                <w:rStyle w:val="Hyperlink"/>
                <w:noProof/>
              </w:rPr>
              <w:t>Consumers</w:t>
            </w:r>
            <w:r w:rsidR="00F4020E">
              <w:rPr>
                <w:noProof/>
                <w:webHidden/>
              </w:rPr>
              <w:tab/>
            </w:r>
            <w:r w:rsidR="00F4020E">
              <w:rPr>
                <w:noProof/>
                <w:webHidden/>
              </w:rPr>
              <w:fldChar w:fldCharType="begin"/>
            </w:r>
            <w:r w:rsidR="00F4020E">
              <w:rPr>
                <w:noProof/>
                <w:webHidden/>
              </w:rPr>
              <w:instrText xml:space="preserve"> PAGEREF _Toc94190416 \h </w:instrText>
            </w:r>
            <w:r w:rsidR="00F4020E">
              <w:rPr>
                <w:noProof/>
                <w:webHidden/>
              </w:rPr>
            </w:r>
            <w:r w:rsidR="00F4020E">
              <w:rPr>
                <w:noProof/>
                <w:webHidden/>
              </w:rPr>
              <w:fldChar w:fldCharType="separate"/>
            </w:r>
            <w:r w:rsidR="00F4020E">
              <w:rPr>
                <w:noProof/>
                <w:webHidden/>
              </w:rPr>
              <w:t>4</w:t>
            </w:r>
            <w:r w:rsidR="00F4020E">
              <w:rPr>
                <w:noProof/>
                <w:webHidden/>
              </w:rPr>
              <w:fldChar w:fldCharType="end"/>
            </w:r>
          </w:hyperlink>
        </w:p>
        <w:p w14:paraId="3C9F9535" w14:textId="7D1752F2" w:rsidR="00F4020E" w:rsidRDefault="0069291A">
          <w:pPr>
            <w:pStyle w:val="TOC2"/>
            <w:tabs>
              <w:tab w:val="left" w:pos="880"/>
              <w:tab w:val="right" w:leader="dot" w:pos="9016"/>
            </w:tabs>
            <w:rPr>
              <w:rFonts w:asciiTheme="minorHAnsi" w:eastAsiaTheme="minorEastAsia" w:hAnsiTheme="minorHAnsi" w:cstheme="minorBidi"/>
              <w:i w:val="0"/>
              <w:iCs w:val="0"/>
              <w:noProof/>
              <w:sz w:val="24"/>
              <w:szCs w:val="24"/>
              <w:lang w:eastAsia="en-GB"/>
            </w:rPr>
          </w:pPr>
          <w:hyperlink w:anchor="_Toc94190417" w:history="1">
            <w:r w:rsidR="00F4020E" w:rsidRPr="00865626">
              <w:rPr>
                <w:rStyle w:val="Hyperlink"/>
                <w:noProof/>
              </w:rPr>
              <w:t>2.2.</w:t>
            </w:r>
            <w:r w:rsidR="00F4020E">
              <w:rPr>
                <w:rFonts w:asciiTheme="minorHAnsi" w:eastAsiaTheme="minorEastAsia" w:hAnsiTheme="minorHAnsi" w:cstheme="minorBidi"/>
                <w:i w:val="0"/>
                <w:iCs w:val="0"/>
                <w:noProof/>
                <w:sz w:val="24"/>
                <w:szCs w:val="24"/>
                <w:lang w:eastAsia="en-GB"/>
              </w:rPr>
              <w:tab/>
            </w:r>
            <w:r w:rsidR="00F4020E" w:rsidRPr="00865626">
              <w:rPr>
                <w:rStyle w:val="Hyperlink"/>
                <w:noProof/>
              </w:rPr>
              <w:t>Business Strategy for Sustainability</w:t>
            </w:r>
            <w:r w:rsidR="00F4020E">
              <w:rPr>
                <w:noProof/>
                <w:webHidden/>
              </w:rPr>
              <w:tab/>
            </w:r>
            <w:r w:rsidR="00F4020E">
              <w:rPr>
                <w:noProof/>
                <w:webHidden/>
              </w:rPr>
              <w:fldChar w:fldCharType="begin"/>
            </w:r>
            <w:r w:rsidR="00F4020E">
              <w:rPr>
                <w:noProof/>
                <w:webHidden/>
              </w:rPr>
              <w:instrText xml:space="preserve"> PAGEREF _Toc94190417 \h </w:instrText>
            </w:r>
            <w:r w:rsidR="00F4020E">
              <w:rPr>
                <w:noProof/>
                <w:webHidden/>
              </w:rPr>
            </w:r>
            <w:r w:rsidR="00F4020E">
              <w:rPr>
                <w:noProof/>
                <w:webHidden/>
              </w:rPr>
              <w:fldChar w:fldCharType="separate"/>
            </w:r>
            <w:r w:rsidR="00F4020E">
              <w:rPr>
                <w:noProof/>
                <w:webHidden/>
              </w:rPr>
              <w:t>5</w:t>
            </w:r>
            <w:r w:rsidR="00F4020E">
              <w:rPr>
                <w:noProof/>
                <w:webHidden/>
              </w:rPr>
              <w:fldChar w:fldCharType="end"/>
            </w:r>
          </w:hyperlink>
        </w:p>
        <w:p w14:paraId="512BDD7B" w14:textId="786B1166" w:rsidR="00F4020E" w:rsidRDefault="0069291A">
          <w:pPr>
            <w:pStyle w:val="TOC3"/>
            <w:tabs>
              <w:tab w:val="left" w:pos="1320"/>
              <w:tab w:val="right" w:leader="dot" w:pos="9016"/>
            </w:tabs>
            <w:rPr>
              <w:rFonts w:asciiTheme="minorHAnsi" w:eastAsiaTheme="minorEastAsia" w:hAnsiTheme="minorHAnsi" w:cstheme="minorBidi"/>
              <w:noProof/>
              <w:sz w:val="24"/>
              <w:szCs w:val="24"/>
              <w:lang w:eastAsia="en-GB"/>
            </w:rPr>
          </w:pPr>
          <w:hyperlink w:anchor="_Toc94190418" w:history="1">
            <w:r w:rsidR="00F4020E" w:rsidRPr="00865626">
              <w:rPr>
                <w:rStyle w:val="Hyperlink"/>
                <w:noProof/>
              </w:rPr>
              <w:t>2.2.1.</w:t>
            </w:r>
            <w:r w:rsidR="00F4020E">
              <w:rPr>
                <w:rFonts w:asciiTheme="minorHAnsi" w:eastAsiaTheme="minorEastAsia" w:hAnsiTheme="minorHAnsi" w:cstheme="minorBidi"/>
                <w:noProof/>
                <w:sz w:val="24"/>
                <w:szCs w:val="24"/>
                <w:lang w:eastAsia="en-GB"/>
              </w:rPr>
              <w:tab/>
            </w:r>
            <w:r w:rsidR="00F4020E" w:rsidRPr="00865626">
              <w:rPr>
                <w:rStyle w:val="Hyperlink"/>
                <w:noProof/>
              </w:rPr>
              <w:t>Responsible Management</w:t>
            </w:r>
            <w:r w:rsidR="00F4020E">
              <w:rPr>
                <w:noProof/>
                <w:webHidden/>
              </w:rPr>
              <w:tab/>
            </w:r>
            <w:r w:rsidR="00F4020E">
              <w:rPr>
                <w:noProof/>
                <w:webHidden/>
              </w:rPr>
              <w:fldChar w:fldCharType="begin"/>
            </w:r>
            <w:r w:rsidR="00F4020E">
              <w:rPr>
                <w:noProof/>
                <w:webHidden/>
              </w:rPr>
              <w:instrText xml:space="preserve"> PAGEREF _Toc94190418 \h </w:instrText>
            </w:r>
            <w:r w:rsidR="00F4020E">
              <w:rPr>
                <w:noProof/>
                <w:webHidden/>
              </w:rPr>
            </w:r>
            <w:r w:rsidR="00F4020E">
              <w:rPr>
                <w:noProof/>
                <w:webHidden/>
              </w:rPr>
              <w:fldChar w:fldCharType="separate"/>
            </w:r>
            <w:r w:rsidR="00F4020E">
              <w:rPr>
                <w:noProof/>
                <w:webHidden/>
              </w:rPr>
              <w:t>5</w:t>
            </w:r>
            <w:r w:rsidR="00F4020E">
              <w:rPr>
                <w:noProof/>
                <w:webHidden/>
              </w:rPr>
              <w:fldChar w:fldCharType="end"/>
            </w:r>
          </w:hyperlink>
        </w:p>
        <w:p w14:paraId="1ADC9F9D" w14:textId="7AE31582" w:rsidR="00F4020E" w:rsidRDefault="0069291A">
          <w:pPr>
            <w:pStyle w:val="TOC3"/>
            <w:tabs>
              <w:tab w:val="left" w:pos="1320"/>
              <w:tab w:val="right" w:leader="dot" w:pos="9016"/>
            </w:tabs>
            <w:rPr>
              <w:rFonts w:asciiTheme="minorHAnsi" w:eastAsiaTheme="minorEastAsia" w:hAnsiTheme="minorHAnsi" w:cstheme="minorBidi"/>
              <w:noProof/>
              <w:sz w:val="24"/>
              <w:szCs w:val="24"/>
              <w:lang w:eastAsia="en-GB"/>
            </w:rPr>
          </w:pPr>
          <w:hyperlink w:anchor="_Toc94190419" w:history="1">
            <w:r w:rsidR="00F4020E" w:rsidRPr="00865626">
              <w:rPr>
                <w:rStyle w:val="Hyperlink"/>
                <w:noProof/>
              </w:rPr>
              <w:t>2.2.2.</w:t>
            </w:r>
            <w:r w:rsidR="00F4020E">
              <w:rPr>
                <w:rFonts w:asciiTheme="minorHAnsi" w:eastAsiaTheme="minorEastAsia" w:hAnsiTheme="minorHAnsi" w:cstheme="minorBidi"/>
                <w:noProof/>
                <w:sz w:val="24"/>
                <w:szCs w:val="24"/>
                <w:lang w:eastAsia="en-GB"/>
              </w:rPr>
              <w:tab/>
            </w:r>
            <w:r w:rsidR="00F4020E" w:rsidRPr="00865626">
              <w:rPr>
                <w:rStyle w:val="Hyperlink"/>
                <w:noProof/>
              </w:rPr>
              <w:t>Marketing</w:t>
            </w:r>
            <w:r w:rsidR="00F4020E">
              <w:rPr>
                <w:noProof/>
                <w:webHidden/>
              </w:rPr>
              <w:tab/>
            </w:r>
            <w:r w:rsidR="00F4020E">
              <w:rPr>
                <w:noProof/>
                <w:webHidden/>
              </w:rPr>
              <w:fldChar w:fldCharType="begin"/>
            </w:r>
            <w:r w:rsidR="00F4020E">
              <w:rPr>
                <w:noProof/>
                <w:webHidden/>
              </w:rPr>
              <w:instrText xml:space="preserve"> PAGEREF _Toc94190419 \h </w:instrText>
            </w:r>
            <w:r w:rsidR="00F4020E">
              <w:rPr>
                <w:noProof/>
                <w:webHidden/>
              </w:rPr>
            </w:r>
            <w:r w:rsidR="00F4020E">
              <w:rPr>
                <w:noProof/>
                <w:webHidden/>
              </w:rPr>
              <w:fldChar w:fldCharType="separate"/>
            </w:r>
            <w:r w:rsidR="00F4020E">
              <w:rPr>
                <w:noProof/>
                <w:webHidden/>
              </w:rPr>
              <w:t>6</w:t>
            </w:r>
            <w:r w:rsidR="00F4020E">
              <w:rPr>
                <w:noProof/>
                <w:webHidden/>
              </w:rPr>
              <w:fldChar w:fldCharType="end"/>
            </w:r>
          </w:hyperlink>
        </w:p>
        <w:p w14:paraId="1CE3FB0A" w14:textId="60462F28" w:rsidR="00F4020E" w:rsidRDefault="0069291A">
          <w:pPr>
            <w:pStyle w:val="TOC3"/>
            <w:tabs>
              <w:tab w:val="left" w:pos="1320"/>
              <w:tab w:val="right" w:leader="dot" w:pos="9016"/>
            </w:tabs>
            <w:rPr>
              <w:rFonts w:asciiTheme="minorHAnsi" w:eastAsiaTheme="minorEastAsia" w:hAnsiTheme="minorHAnsi" w:cstheme="minorBidi"/>
              <w:noProof/>
              <w:sz w:val="24"/>
              <w:szCs w:val="24"/>
              <w:lang w:eastAsia="en-GB"/>
            </w:rPr>
          </w:pPr>
          <w:hyperlink w:anchor="_Toc94190420" w:history="1">
            <w:r w:rsidR="00F4020E" w:rsidRPr="00865626">
              <w:rPr>
                <w:rStyle w:val="Hyperlink"/>
                <w:noProof/>
              </w:rPr>
              <w:t>2.2.3.</w:t>
            </w:r>
            <w:r w:rsidR="00F4020E">
              <w:rPr>
                <w:rFonts w:asciiTheme="minorHAnsi" w:eastAsiaTheme="minorEastAsia" w:hAnsiTheme="minorHAnsi" w:cstheme="minorBidi"/>
                <w:noProof/>
                <w:sz w:val="24"/>
                <w:szCs w:val="24"/>
                <w:lang w:eastAsia="en-GB"/>
              </w:rPr>
              <w:tab/>
            </w:r>
            <w:r w:rsidR="00F4020E" w:rsidRPr="00865626">
              <w:rPr>
                <w:rStyle w:val="Hyperlink"/>
                <w:noProof/>
              </w:rPr>
              <w:t>Corporate governance</w:t>
            </w:r>
            <w:r w:rsidR="00F4020E">
              <w:rPr>
                <w:noProof/>
                <w:webHidden/>
              </w:rPr>
              <w:tab/>
            </w:r>
            <w:r w:rsidR="00F4020E">
              <w:rPr>
                <w:noProof/>
                <w:webHidden/>
              </w:rPr>
              <w:fldChar w:fldCharType="begin"/>
            </w:r>
            <w:r w:rsidR="00F4020E">
              <w:rPr>
                <w:noProof/>
                <w:webHidden/>
              </w:rPr>
              <w:instrText xml:space="preserve"> PAGEREF _Toc94190420 \h </w:instrText>
            </w:r>
            <w:r w:rsidR="00F4020E">
              <w:rPr>
                <w:noProof/>
                <w:webHidden/>
              </w:rPr>
            </w:r>
            <w:r w:rsidR="00F4020E">
              <w:rPr>
                <w:noProof/>
                <w:webHidden/>
              </w:rPr>
              <w:fldChar w:fldCharType="separate"/>
            </w:r>
            <w:r w:rsidR="00F4020E">
              <w:rPr>
                <w:noProof/>
                <w:webHidden/>
              </w:rPr>
              <w:t>6</w:t>
            </w:r>
            <w:r w:rsidR="00F4020E">
              <w:rPr>
                <w:noProof/>
                <w:webHidden/>
              </w:rPr>
              <w:fldChar w:fldCharType="end"/>
            </w:r>
          </w:hyperlink>
        </w:p>
        <w:p w14:paraId="71228087" w14:textId="1A720373" w:rsidR="00F4020E" w:rsidRDefault="0069291A">
          <w:pPr>
            <w:pStyle w:val="TOC1"/>
            <w:tabs>
              <w:tab w:val="left" w:pos="440"/>
            </w:tabs>
            <w:rPr>
              <w:rFonts w:asciiTheme="minorHAnsi" w:eastAsiaTheme="minorEastAsia" w:hAnsiTheme="minorHAnsi" w:cstheme="minorBidi"/>
              <w:b w:val="0"/>
              <w:bCs w:val="0"/>
              <w:noProof/>
              <w:sz w:val="24"/>
              <w:szCs w:val="24"/>
              <w:lang w:eastAsia="en-GB"/>
            </w:rPr>
          </w:pPr>
          <w:hyperlink w:anchor="_Toc94190421" w:history="1">
            <w:r w:rsidR="00F4020E" w:rsidRPr="00865626">
              <w:rPr>
                <w:rStyle w:val="Hyperlink"/>
                <w:noProof/>
              </w:rPr>
              <w:t>3.</w:t>
            </w:r>
            <w:r w:rsidR="00F4020E">
              <w:rPr>
                <w:rFonts w:asciiTheme="minorHAnsi" w:eastAsiaTheme="minorEastAsia" w:hAnsiTheme="minorHAnsi" w:cstheme="minorBidi"/>
                <w:b w:val="0"/>
                <w:bCs w:val="0"/>
                <w:noProof/>
                <w:sz w:val="24"/>
                <w:szCs w:val="24"/>
                <w:lang w:eastAsia="en-GB"/>
              </w:rPr>
              <w:tab/>
            </w:r>
            <w:r w:rsidR="00F4020E" w:rsidRPr="00865626">
              <w:rPr>
                <w:rStyle w:val="Hyperlink"/>
                <w:noProof/>
              </w:rPr>
              <w:t>Evaluation of Sustainability Reporting Within the Sector</w:t>
            </w:r>
            <w:r w:rsidR="00F4020E">
              <w:rPr>
                <w:noProof/>
                <w:webHidden/>
              </w:rPr>
              <w:tab/>
            </w:r>
            <w:r w:rsidR="00F4020E">
              <w:rPr>
                <w:noProof/>
                <w:webHidden/>
              </w:rPr>
              <w:fldChar w:fldCharType="begin"/>
            </w:r>
            <w:r w:rsidR="00F4020E">
              <w:rPr>
                <w:noProof/>
                <w:webHidden/>
              </w:rPr>
              <w:instrText xml:space="preserve"> PAGEREF _Toc94190421 \h </w:instrText>
            </w:r>
            <w:r w:rsidR="00F4020E">
              <w:rPr>
                <w:noProof/>
                <w:webHidden/>
              </w:rPr>
            </w:r>
            <w:r w:rsidR="00F4020E">
              <w:rPr>
                <w:noProof/>
                <w:webHidden/>
              </w:rPr>
              <w:fldChar w:fldCharType="separate"/>
            </w:r>
            <w:r w:rsidR="00F4020E">
              <w:rPr>
                <w:noProof/>
                <w:webHidden/>
              </w:rPr>
              <w:t>7</w:t>
            </w:r>
            <w:r w:rsidR="00F4020E">
              <w:rPr>
                <w:noProof/>
                <w:webHidden/>
              </w:rPr>
              <w:fldChar w:fldCharType="end"/>
            </w:r>
          </w:hyperlink>
        </w:p>
        <w:p w14:paraId="53A9A956" w14:textId="36EAFF03" w:rsidR="00F4020E" w:rsidRDefault="0069291A">
          <w:pPr>
            <w:pStyle w:val="TOC2"/>
            <w:tabs>
              <w:tab w:val="left" w:pos="880"/>
              <w:tab w:val="right" w:leader="dot" w:pos="9016"/>
            </w:tabs>
            <w:rPr>
              <w:rFonts w:asciiTheme="minorHAnsi" w:eastAsiaTheme="minorEastAsia" w:hAnsiTheme="minorHAnsi" w:cstheme="minorBidi"/>
              <w:i w:val="0"/>
              <w:iCs w:val="0"/>
              <w:noProof/>
              <w:sz w:val="24"/>
              <w:szCs w:val="24"/>
              <w:lang w:eastAsia="en-GB"/>
            </w:rPr>
          </w:pPr>
          <w:hyperlink w:anchor="_Toc94190422" w:history="1">
            <w:r w:rsidR="00F4020E" w:rsidRPr="00865626">
              <w:rPr>
                <w:rStyle w:val="Hyperlink"/>
                <w:noProof/>
              </w:rPr>
              <w:t>3.1.</w:t>
            </w:r>
            <w:r w:rsidR="00F4020E">
              <w:rPr>
                <w:rFonts w:asciiTheme="minorHAnsi" w:eastAsiaTheme="minorEastAsia" w:hAnsiTheme="minorHAnsi" w:cstheme="minorBidi"/>
                <w:i w:val="0"/>
                <w:iCs w:val="0"/>
                <w:noProof/>
                <w:sz w:val="24"/>
                <w:szCs w:val="24"/>
                <w:lang w:eastAsia="en-GB"/>
              </w:rPr>
              <w:tab/>
            </w:r>
            <w:r w:rsidR="00F4020E" w:rsidRPr="00865626">
              <w:rPr>
                <w:rStyle w:val="Hyperlink"/>
                <w:noProof/>
              </w:rPr>
              <w:t>Critical Analysis of Reported Content</w:t>
            </w:r>
            <w:r w:rsidR="00F4020E">
              <w:rPr>
                <w:noProof/>
                <w:webHidden/>
              </w:rPr>
              <w:tab/>
            </w:r>
            <w:r w:rsidR="00F4020E">
              <w:rPr>
                <w:noProof/>
                <w:webHidden/>
              </w:rPr>
              <w:fldChar w:fldCharType="begin"/>
            </w:r>
            <w:r w:rsidR="00F4020E">
              <w:rPr>
                <w:noProof/>
                <w:webHidden/>
              </w:rPr>
              <w:instrText xml:space="preserve"> PAGEREF _Toc94190422 \h </w:instrText>
            </w:r>
            <w:r w:rsidR="00F4020E">
              <w:rPr>
                <w:noProof/>
                <w:webHidden/>
              </w:rPr>
            </w:r>
            <w:r w:rsidR="00F4020E">
              <w:rPr>
                <w:noProof/>
                <w:webHidden/>
              </w:rPr>
              <w:fldChar w:fldCharType="separate"/>
            </w:r>
            <w:r w:rsidR="00F4020E">
              <w:rPr>
                <w:noProof/>
                <w:webHidden/>
              </w:rPr>
              <w:t>7</w:t>
            </w:r>
            <w:r w:rsidR="00F4020E">
              <w:rPr>
                <w:noProof/>
                <w:webHidden/>
              </w:rPr>
              <w:fldChar w:fldCharType="end"/>
            </w:r>
          </w:hyperlink>
        </w:p>
        <w:p w14:paraId="2ED23078" w14:textId="57131AD5" w:rsidR="00F4020E" w:rsidRDefault="0069291A">
          <w:pPr>
            <w:pStyle w:val="TOC3"/>
            <w:tabs>
              <w:tab w:val="left" w:pos="1320"/>
              <w:tab w:val="right" w:leader="dot" w:pos="9016"/>
            </w:tabs>
            <w:rPr>
              <w:rFonts w:asciiTheme="minorHAnsi" w:eastAsiaTheme="minorEastAsia" w:hAnsiTheme="minorHAnsi" w:cstheme="minorBidi"/>
              <w:noProof/>
              <w:sz w:val="24"/>
              <w:szCs w:val="24"/>
              <w:lang w:eastAsia="en-GB"/>
            </w:rPr>
          </w:pPr>
          <w:hyperlink w:anchor="_Toc94190423" w:history="1">
            <w:r w:rsidR="00F4020E" w:rsidRPr="00865626">
              <w:rPr>
                <w:rStyle w:val="Hyperlink"/>
                <w:noProof/>
              </w:rPr>
              <w:t>3.1.1.</w:t>
            </w:r>
            <w:r w:rsidR="00F4020E">
              <w:rPr>
                <w:rFonts w:asciiTheme="minorHAnsi" w:eastAsiaTheme="minorEastAsia" w:hAnsiTheme="minorHAnsi" w:cstheme="minorBidi"/>
                <w:noProof/>
                <w:sz w:val="24"/>
                <w:szCs w:val="24"/>
                <w:lang w:eastAsia="en-GB"/>
              </w:rPr>
              <w:tab/>
            </w:r>
            <w:r w:rsidR="00F4020E" w:rsidRPr="00865626">
              <w:rPr>
                <w:rStyle w:val="Hyperlink"/>
                <w:noProof/>
              </w:rPr>
              <w:t>Sustainable Development Goals</w:t>
            </w:r>
            <w:r w:rsidR="00F4020E">
              <w:rPr>
                <w:noProof/>
                <w:webHidden/>
              </w:rPr>
              <w:tab/>
            </w:r>
            <w:r w:rsidR="00F4020E">
              <w:rPr>
                <w:noProof/>
                <w:webHidden/>
              </w:rPr>
              <w:fldChar w:fldCharType="begin"/>
            </w:r>
            <w:r w:rsidR="00F4020E">
              <w:rPr>
                <w:noProof/>
                <w:webHidden/>
              </w:rPr>
              <w:instrText xml:space="preserve"> PAGEREF _Toc94190423 \h </w:instrText>
            </w:r>
            <w:r w:rsidR="00F4020E">
              <w:rPr>
                <w:noProof/>
                <w:webHidden/>
              </w:rPr>
            </w:r>
            <w:r w:rsidR="00F4020E">
              <w:rPr>
                <w:noProof/>
                <w:webHidden/>
              </w:rPr>
              <w:fldChar w:fldCharType="separate"/>
            </w:r>
            <w:r w:rsidR="00F4020E">
              <w:rPr>
                <w:noProof/>
                <w:webHidden/>
              </w:rPr>
              <w:t>7</w:t>
            </w:r>
            <w:r w:rsidR="00F4020E">
              <w:rPr>
                <w:noProof/>
                <w:webHidden/>
              </w:rPr>
              <w:fldChar w:fldCharType="end"/>
            </w:r>
          </w:hyperlink>
        </w:p>
        <w:p w14:paraId="509A3878" w14:textId="0DB2926B" w:rsidR="00F4020E" w:rsidRDefault="0069291A">
          <w:pPr>
            <w:pStyle w:val="TOC3"/>
            <w:tabs>
              <w:tab w:val="left" w:pos="1320"/>
              <w:tab w:val="right" w:leader="dot" w:pos="9016"/>
            </w:tabs>
            <w:rPr>
              <w:rFonts w:asciiTheme="minorHAnsi" w:eastAsiaTheme="minorEastAsia" w:hAnsiTheme="minorHAnsi" w:cstheme="minorBidi"/>
              <w:noProof/>
              <w:sz w:val="24"/>
              <w:szCs w:val="24"/>
              <w:lang w:eastAsia="en-GB"/>
            </w:rPr>
          </w:pPr>
          <w:hyperlink w:anchor="_Toc94190424" w:history="1">
            <w:r w:rsidR="00F4020E" w:rsidRPr="00865626">
              <w:rPr>
                <w:rStyle w:val="Hyperlink"/>
                <w:noProof/>
              </w:rPr>
              <w:t>3.1.2.</w:t>
            </w:r>
            <w:r w:rsidR="00F4020E">
              <w:rPr>
                <w:rFonts w:asciiTheme="minorHAnsi" w:eastAsiaTheme="minorEastAsia" w:hAnsiTheme="minorHAnsi" w:cstheme="minorBidi"/>
                <w:noProof/>
                <w:sz w:val="24"/>
                <w:szCs w:val="24"/>
                <w:lang w:eastAsia="en-GB"/>
              </w:rPr>
              <w:tab/>
            </w:r>
            <w:r w:rsidR="00F4020E" w:rsidRPr="00865626">
              <w:rPr>
                <w:rStyle w:val="Hyperlink"/>
                <w:noProof/>
              </w:rPr>
              <w:t>UN Global Compact</w:t>
            </w:r>
            <w:r w:rsidR="00F4020E">
              <w:rPr>
                <w:noProof/>
                <w:webHidden/>
              </w:rPr>
              <w:tab/>
            </w:r>
            <w:r w:rsidR="00F4020E">
              <w:rPr>
                <w:noProof/>
                <w:webHidden/>
              </w:rPr>
              <w:fldChar w:fldCharType="begin"/>
            </w:r>
            <w:r w:rsidR="00F4020E">
              <w:rPr>
                <w:noProof/>
                <w:webHidden/>
              </w:rPr>
              <w:instrText xml:space="preserve"> PAGEREF _Toc94190424 \h </w:instrText>
            </w:r>
            <w:r w:rsidR="00F4020E">
              <w:rPr>
                <w:noProof/>
                <w:webHidden/>
              </w:rPr>
            </w:r>
            <w:r w:rsidR="00F4020E">
              <w:rPr>
                <w:noProof/>
                <w:webHidden/>
              </w:rPr>
              <w:fldChar w:fldCharType="separate"/>
            </w:r>
            <w:r w:rsidR="00F4020E">
              <w:rPr>
                <w:noProof/>
                <w:webHidden/>
              </w:rPr>
              <w:t>8</w:t>
            </w:r>
            <w:r w:rsidR="00F4020E">
              <w:rPr>
                <w:noProof/>
                <w:webHidden/>
              </w:rPr>
              <w:fldChar w:fldCharType="end"/>
            </w:r>
          </w:hyperlink>
        </w:p>
        <w:p w14:paraId="47753B5F" w14:textId="00ABF7AD" w:rsidR="00F4020E" w:rsidRDefault="0069291A">
          <w:pPr>
            <w:pStyle w:val="TOC3"/>
            <w:tabs>
              <w:tab w:val="left" w:pos="1320"/>
              <w:tab w:val="right" w:leader="dot" w:pos="9016"/>
            </w:tabs>
            <w:rPr>
              <w:rFonts w:asciiTheme="minorHAnsi" w:eastAsiaTheme="minorEastAsia" w:hAnsiTheme="minorHAnsi" w:cstheme="minorBidi"/>
              <w:noProof/>
              <w:sz w:val="24"/>
              <w:szCs w:val="24"/>
              <w:lang w:eastAsia="en-GB"/>
            </w:rPr>
          </w:pPr>
          <w:hyperlink w:anchor="_Toc94190425" w:history="1">
            <w:r w:rsidR="00F4020E" w:rsidRPr="00865626">
              <w:rPr>
                <w:rStyle w:val="Hyperlink"/>
                <w:noProof/>
              </w:rPr>
              <w:t>3.1.3.</w:t>
            </w:r>
            <w:r w:rsidR="00F4020E">
              <w:rPr>
                <w:rFonts w:asciiTheme="minorHAnsi" w:eastAsiaTheme="minorEastAsia" w:hAnsiTheme="minorHAnsi" w:cstheme="minorBidi"/>
                <w:noProof/>
                <w:sz w:val="24"/>
                <w:szCs w:val="24"/>
                <w:lang w:eastAsia="en-GB"/>
              </w:rPr>
              <w:tab/>
            </w:r>
            <w:r w:rsidR="00F4020E" w:rsidRPr="00865626">
              <w:rPr>
                <w:rStyle w:val="Hyperlink"/>
                <w:noProof/>
              </w:rPr>
              <w:t>Reporting Approaches</w:t>
            </w:r>
            <w:r w:rsidR="00F4020E">
              <w:rPr>
                <w:noProof/>
                <w:webHidden/>
              </w:rPr>
              <w:tab/>
            </w:r>
            <w:r w:rsidR="00F4020E">
              <w:rPr>
                <w:noProof/>
                <w:webHidden/>
              </w:rPr>
              <w:fldChar w:fldCharType="begin"/>
            </w:r>
            <w:r w:rsidR="00F4020E">
              <w:rPr>
                <w:noProof/>
                <w:webHidden/>
              </w:rPr>
              <w:instrText xml:space="preserve"> PAGEREF _Toc94190425 \h </w:instrText>
            </w:r>
            <w:r w:rsidR="00F4020E">
              <w:rPr>
                <w:noProof/>
                <w:webHidden/>
              </w:rPr>
            </w:r>
            <w:r w:rsidR="00F4020E">
              <w:rPr>
                <w:noProof/>
                <w:webHidden/>
              </w:rPr>
              <w:fldChar w:fldCharType="separate"/>
            </w:r>
            <w:r w:rsidR="00F4020E">
              <w:rPr>
                <w:noProof/>
                <w:webHidden/>
              </w:rPr>
              <w:t>8</w:t>
            </w:r>
            <w:r w:rsidR="00F4020E">
              <w:rPr>
                <w:noProof/>
                <w:webHidden/>
              </w:rPr>
              <w:fldChar w:fldCharType="end"/>
            </w:r>
          </w:hyperlink>
        </w:p>
        <w:p w14:paraId="777374F0" w14:textId="32C51A96" w:rsidR="00F4020E" w:rsidRDefault="0069291A">
          <w:pPr>
            <w:pStyle w:val="TOC2"/>
            <w:tabs>
              <w:tab w:val="left" w:pos="880"/>
              <w:tab w:val="right" w:leader="dot" w:pos="9016"/>
            </w:tabs>
            <w:rPr>
              <w:rFonts w:asciiTheme="minorHAnsi" w:eastAsiaTheme="minorEastAsia" w:hAnsiTheme="minorHAnsi" w:cstheme="minorBidi"/>
              <w:i w:val="0"/>
              <w:iCs w:val="0"/>
              <w:noProof/>
              <w:sz w:val="24"/>
              <w:szCs w:val="24"/>
              <w:lang w:eastAsia="en-GB"/>
            </w:rPr>
          </w:pPr>
          <w:hyperlink w:anchor="_Toc94190426" w:history="1">
            <w:r w:rsidR="00F4020E" w:rsidRPr="00865626">
              <w:rPr>
                <w:rStyle w:val="Hyperlink"/>
                <w:noProof/>
              </w:rPr>
              <w:t>3.2.</w:t>
            </w:r>
            <w:r w:rsidR="00F4020E">
              <w:rPr>
                <w:rFonts w:asciiTheme="minorHAnsi" w:eastAsiaTheme="minorEastAsia" w:hAnsiTheme="minorHAnsi" w:cstheme="minorBidi"/>
                <w:i w:val="0"/>
                <w:iCs w:val="0"/>
                <w:noProof/>
                <w:sz w:val="24"/>
                <w:szCs w:val="24"/>
                <w:lang w:eastAsia="en-GB"/>
              </w:rPr>
              <w:tab/>
            </w:r>
            <w:r w:rsidR="00F4020E" w:rsidRPr="00865626">
              <w:rPr>
                <w:rStyle w:val="Hyperlink"/>
                <w:noProof/>
              </w:rPr>
              <w:t>Limitations of Reporting Frameworks and Recommendations for the Sector</w:t>
            </w:r>
            <w:r w:rsidR="00F4020E">
              <w:rPr>
                <w:noProof/>
                <w:webHidden/>
              </w:rPr>
              <w:tab/>
            </w:r>
            <w:r w:rsidR="00F4020E">
              <w:rPr>
                <w:noProof/>
                <w:webHidden/>
              </w:rPr>
              <w:fldChar w:fldCharType="begin"/>
            </w:r>
            <w:r w:rsidR="00F4020E">
              <w:rPr>
                <w:noProof/>
                <w:webHidden/>
              </w:rPr>
              <w:instrText xml:space="preserve"> PAGEREF _Toc94190426 \h </w:instrText>
            </w:r>
            <w:r w:rsidR="00F4020E">
              <w:rPr>
                <w:noProof/>
                <w:webHidden/>
              </w:rPr>
            </w:r>
            <w:r w:rsidR="00F4020E">
              <w:rPr>
                <w:noProof/>
                <w:webHidden/>
              </w:rPr>
              <w:fldChar w:fldCharType="separate"/>
            </w:r>
            <w:r w:rsidR="00F4020E">
              <w:rPr>
                <w:noProof/>
                <w:webHidden/>
              </w:rPr>
              <w:t>9</w:t>
            </w:r>
            <w:r w:rsidR="00F4020E">
              <w:rPr>
                <w:noProof/>
                <w:webHidden/>
              </w:rPr>
              <w:fldChar w:fldCharType="end"/>
            </w:r>
          </w:hyperlink>
        </w:p>
        <w:p w14:paraId="235A1BB1" w14:textId="183F185E" w:rsidR="00F4020E" w:rsidRDefault="0069291A">
          <w:pPr>
            <w:pStyle w:val="TOC3"/>
            <w:tabs>
              <w:tab w:val="left" w:pos="1320"/>
              <w:tab w:val="right" w:leader="dot" w:pos="9016"/>
            </w:tabs>
            <w:rPr>
              <w:rFonts w:asciiTheme="minorHAnsi" w:eastAsiaTheme="minorEastAsia" w:hAnsiTheme="minorHAnsi" w:cstheme="minorBidi"/>
              <w:noProof/>
              <w:sz w:val="24"/>
              <w:szCs w:val="24"/>
              <w:lang w:eastAsia="en-GB"/>
            </w:rPr>
          </w:pPr>
          <w:hyperlink w:anchor="_Toc94190427" w:history="1">
            <w:r w:rsidR="00F4020E" w:rsidRPr="00865626">
              <w:rPr>
                <w:rStyle w:val="Hyperlink"/>
                <w:noProof/>
              </w:rPr>
              <w:t>3.2.1.</w:t>
            </w:r>
            <w:r w:rsidR="00F4020E">
              <w:rPr>
                <w:rFonts w:asciiTheme="minorHAnsi" w:eastAsiaTheme="minorEastAsia" w:hAnsiTheme="minorHAnsi" w:cstheme="minorBidi"/>
                <w:noProof/>
                <w:sz w:val="24"/>
                <w:szCs w:val="24"/>
                <w:lang w:eastAsia="en-GB"/>
              </w:rPr>
              <w:tab/>
            </w:r>
            <w:r w:rsidR="00F4020E" w:rsidRPr="00865626">
              <w:rPr>
                <w:rStyle w:val="Hyperlink"/>
                <w:noProof/>
              </w:rPr>
              <w:t>Limitations</w:t>
            </w:r>
            <w:r w:rsidR="00F4020E">
              <w:rPr>
                <w:noProof/>
                <w:webHidden/>
              </w:rPr>
              <w:tab/>
            </w:r>
            <w:r w:rsidR="00F4020E">
              <w:rPr>
                <w:noProof/>
                <w:webHidden/>
              </w:rPr>
              <w:fldChar w:fldCharType="begin"/>
            </w:r>
            <w:r w:rsidR="00F4020E">
              <w:rPr>
                <w:noProof/>
                <w:webHidden/>
              </w:rPr>
              <w:instrText xml:space="preserve"> PAGEREF _Toc94190427 \h </w:instrText>
            </w:r>
            <w:r w:rsidR="00F4020E">
              <w:rPr>
                <w:noProof/>
                <w:webHidden/>
              </w:rPr>
            </w:r>
            <w:r w:rsidR="00F4020E">
              <w:rPr>
                <w:noProof/>
                <w:webHidden/>
              </w:rPr>
              <w:fldChar w:fldCharType="separate"/>
            </w:r>
            <w:r w:rsidR="00F4020E">
              <w:rPr>
                <w:noProof/>
                <w:webHidden/>
              </w:rPr>
              <w:t>9</w:t>
            </w:r>
            <w:r w:rsidR="00F4020E">
              <w:rPr>
                <w:noProof/>
                <w:webHidden/>
              </w:rPr>
              <w:fldChar w:fldCharType="end"/>
            </w:r>
          </w:hyperlink>
        </w:p>
        <w:p w14:paraId="52E51C8F" w14:textId="2A4197C8" w:rsidR="00F4020E" w:rsidRDefault="0069291A">
          <w:pPr>
            <w:pStyle w:val="TOC3"/>
            <w:tabs>
              <w:tab w:val="left" w:pos="1320"/>
              <w:tab w:val="right" w:leader="dot" w:pos="9016"/>
            </w:tabs>
            <w:rPr>
              <w:rFonts w:asciiTheme="minorHAnsi" w:eastAsiaTheme="minorEastAsia" w:hAnsiTheme="minorHAnsi" w:cstheme="minorBidi"/>
              <w:noProof/>
              <w:sz w:val="24"/>
              <w:szCs w:val="24"/>
              <w:lang w:eastAsia="en-GB"/>
            </w:rPr>
          </w:pPr>
          <w:hyperlink w:anchor="_Toc94190428" w:history="1">
            <w:r w:rsidR="00F4020E" w:rsidRPr="00865626">
              <w:rPr>
                <w:rStyle w:val="Hyperlink"/>
                <w:noProof/>
              </w:rPr>
              <w:t>3.2.2.</w:t>
            </w:r>
            <w:r w:rsidR="00F4020E">
              <w:rPr>
                <w:rFonts w:asciiTheme="minorHAnsi" w:eastAsiaTheme="minorEastAsia" w:hAnsiTheme="minorHAnsi" w:cstheme="minorBidi"/>
                <w:noProof/>
                <w:sz w:val="24"/>
                <w:szCs w:val="24"/>
                <w:lang w:eastAsia="en-GB"/>
              </w:rPr>
              <w:tab/>
            </w:r>
            <w:r w:rsidR="00F4020E" w:rsidRPr="00865626">
              <w:rPr>
                <w:rStyle w:val="Hyperlink"/>
                <w:noProof/>
              </w:rPr>
              <w:t>Recommendations</w:t>
            </w:r>
            <w:r w:rsidR="00F4020E">
              <w:rPr>
                <w:noProof/>
                <w:webHidden/>
              </w:rPr>
              <w:tab/>
            </w:r>
            <w:r w:rsidR="00F4020E">
              <w:rPr>
                <w:noProof/>
                <w:webHidden/>
              </w:rPr>
              <w:fldChar w:fldCharType="begin"/>
            </w:r>
            <w:r w:rsidR="00F4020E">
              <w:rPr>
                <w:noProof/>
                <w:webHidden/>
              </w:rPr>
              <w:instrText xml:space="preserve"> PAGEREF _Toc94190428 \h </w:instrText>
            </w:r>
            <w:r w:rsidR="00F4020E">
              <w:rPr>
                <w:noProof/>
                <w:webHidden/>
              </w:rPr>
            </w:r>
            <w:r w:rsidR="00F4020E">
              <w:rPr>
                <w:noProof/>
                <w:webHidden/>
              </w:rPr>
              <w:fldChar w:fldCharType="separate"/>
            </w:r>
            <w:r w:rsidR="00F4020E">
              <w:rPr>
                <w:noProof/>
                <w:webHidden/>
              </w:rPr>
              <w:t>10</w:t>
            </w:r>
            <w:r w:rsidR="00F4020E">
              <w:rPr>
                <w:noProof/>
                <w:webHidden/>
              </w:rPr>
              <w:fldChar w:fldCharType="end"/>
            </w:r>
          </w:hyperlink>
        </w:p>
        <w:p w14:paraId="3A8569D3" w14:textId="11185430" w:rsidR="00F4020E" w:rsidRDefault="0069291A">
          <w:pPr>
            <w:pStyle w:val="TOC1"/>
            <w:tabs>
              <w:tab w:val="left" w:pos="440"/>
            </w:tabs>
            <w:rPr>
              <w:rFonts w:asciiTheme="minorHAnsi" w:eastAsiaTheme="minorEastAsia" w:hAnsiTheme="minorHAnsi" w:cstheme="minorBidi"/>
              <w:b w:val="0"/>
              <w:bCs w:val="0"/>
              <w:noProof/>
              <w:sz w:val="24"/>
              <w:szCs w:val="24"/>
              <w:lang w:eastAsia="en-GB"/>
            </w:rPr>
          </w:pPr>
          <w:hyperlink w:anchor="_Toc94190429" w:history="1">
            <w:r w:rsidR="00F4020E" w:rsidRPr="00865626">
              <w:rPr>
                <w:rStyle w:val="Hyperlink"/>
                <w:noProof/>
              </w:rPr>
              <w:t>4.</w:t>
            </w:r>
            <w:r w:rsidR="00F4020E">
              <w:rPr>
                <w:rFonts w:asciiTheme="minorHAnsi" w:eastAsiaTheme="minorEastAsia" w:hAnsiTheme="minorHAnsi" w:cstheme="minorBidi"/>
                <w:b w:val="0"/>
                <w:bCs w:val="0"/>
                <w:noProof/>
                <w:sz w:val="24"/>
                <w:szCs w:val="24"/>
                <w:lang w:eastAsia="en-GB"/>
              </w:rPr>
              <w:tab/>
            </w:r>
            <w:r w:rsidR="00F4020E" w:rsidRPr="00865626">
              <w:rPr>
                <w:rStyle w:val="Hyperlink"/>
                <w:noProof/>
              </w:rPr>
              <w:t>Conclusion</w:t>
            </w:r>
            <w:r w:rsidR="00F4020E">
              <w:rPr>
                <w:noProof/>
                <w:webHidden/>
              </w:rPr>
              <w:tab/>
            </w:r>
            <w:r w:rsidR="00F4020E">
              <w:rPr>
                <w:noProof/>
                <w:webHidden/>
              </w:rPr>
              <w:fldChar w:fldCharType="begin"/>
            </w:r>
            <w:r w:rsidR="00F4020E">
              <w:rPr>
                <w:noProof/>
                <w:webHidden/>
              </w:rPr>
              <w:instrText xml:space="preserve"> PAGEREF _Toc94190429 \h </w:instrText>
            </w:r>
            <w:r w:rsidR="00F4020E">
              <w:rPr>
                <w:noProof/>
                <w:webHidden/>
              </w:rPr>
            </w:r>
            <w:r w:rsidR="00F4020E">
              <w:rPr>
                <w:noProof/>
                <w:webHidden/>
              </w:rPr>
              <w:fldChar w:fldCharType="separate"/>
            </w:r>
            <w:r w:rsidR="00F4020E">
              <w:rPr>
                <w:noProof/>
                <w:webHidden/>
              </w:rPr>
              <w:t>11</w:t>
            </w:r>
            <w:r w:rsidR="00F4020E">
              <w:rPr>
                <w:noProof/>
                <w:webHidden/>
              </w:rPr>
              <w:fldChar w:fldCharType="end"/>
            </w:r>
          </w:hyperlink>
        </w:p>
        <w:p w14:paraId="2B398F42" w14:textId="569992DC" w:rsidR="00F4020E" w:rsidRDefault="0069291A">
          <w:pPr>
            <w:pStyle w:val="TOC1"/>
            <w:tabs>
              <w:tab w:val="left" w:pos="440"/>
            </w:tabs>
            <w:rPr>
              <w:rFonts w:asciiTheme="minorHAnsi" w:eastAsiaTheme="minorEastAsia" w:hAnsiTheme="minorHAnsi" w:cstheme="minorBidi"/>
              <w:b w:val="0"/>
              <w:bCs w:val="0"/>
              <w:noProof/>
              <w:sz w:val="24"/>
              <w:szCs w:val="24"/>
              <w:lang w:eastAsia="en-GB"/>
            </w:rPr>
          </w:pPr>
          <w:hyperlink w:anchor="_Toc94190430" w:history="1">
            <w:r w:rsidR="00F4020E" w:rsidRPr="00865626">
              <w:rPr>
                <w:rStyle w:val="Hyperlink"/>
                <w:noProof/>
              </w:rPr>
              <w:t>5.</w:t>
            </w:r>
            <w:r w:rsidR="00F4020E">
              <w:rPr>
                <w:rFonts w:asciiTheme="minorHAnsi" w:eastAsiaTheme="minorEastAsia" w:hAnsiTheme="minorHAnsi" w:cstheme="minorBidi"/>
                <w:b w:val="0"/>
                <w:bCs w:val="0"/>
                <w:noProof/>
                <w:sz w:val="24"/>
                <w:szCs w:val="24"/>
                <w:lang w:eastAsia="en-GB"/>
              </w:rPr>
              <w:tab/>
            </w:r>
            <w:r w:rsidR="00F4020E" w:rsidRPr="00865626">
              <w:rPr>
                <w:rStyle w:val="Hyperlink"/>
                <w:noProof/>
              </w:rPr>
              <w:t>References</w:t>
            </w:r>
            <w:r w:rsidR="00F4020E">
              <w:rPr>
                <w:noProof/>
                <w:webHidden/>
              </w:rPr>
              <w:tab/>
            </w:r>
            <w:r w:rsidR="00F4020E">
              <w:rPr>
                <w:noProof/>
                <w:webHidden/>
              </w:rPr>
              <w:fldChar w:fldCharType="begin"/>
            </w:r>
            <w:r w:rsidR="00F4020E">
              <w:rPr>
                <w:noProof/>
                <w:webHidden/>
              </w:rPr>
              <w:instrText xml:space="preserve"> PAGEREF _Toc94190430 \h </w:instrText>
            </w:r>
            <w:r w:rsidR="00F4020E">
              <w:rPr>
                <w:noProof/>
                <w:webHidden/>
              </w:rPr>
            </w:r>
            <w:r w:rsidR="00F4020E">
              <w:rPr>
                <w:noProof/>
                <w:webHidden/>
              </w:rPr>
              <w:fldChar w:fldCharType="separate"/>
            </w:r>
            <w:r w:rsidR="00F4020E">
              <w:rPr>
                <w:noProof/>
                <w:webHidden/>
              </w:rPr>
              <w:t>11</w:t>
            </w:r>
            <w:r w:rsidR="00F4020E">
              <w:rPr>
                <w:noProof/>
                <w:webHidden/>
              </w:rPr>
              <w:fldChar w:fldCharType="end"/>
            </w:r>
          </w:hyperlink>
        </w:p>
        <w:p w14:paraId="5A399504" w14:textId="50849718" w:rsidR="00F4020E" w:rsidRDefault="0069291A">
          <w:pPr>
            <w:pStyle w:val="TOC1"/>
            <w:tabs>
              <w:tab w:val="left" w:pos="440"/>
            </w:tabs>
            <w:rPr>
              <w:rFonts w:asciiTheme="minorHAnsi" w:eastAsiaTheme="minorEastAsia" w:hAnsiTheme="minorHAnsi" w:cstheme="minorBidi"/>
              <w:b w:val="0"/>
              <w:bCs w:val="0"/>
              <w:noProof/>
              <w:sz w:val="24"/>
              <w:szCs w:val="24"/>
              <w:lang w:eastAsia="en-GB"/>
            </w:rPr>
          </w:pPr>
          <w:hyperlink w:anchor="_Toc94190431" w:history="1">
            <w:r w:rsidR="00F4020E" w:rsidRPr="00865626">
              <w:rPr>
                <w:rStyle w:val="Hyperlink"/>
                <w:noProof/>
              </w:rPr>
              <w:t>6.</w:t>
            </w:r>
            <w:r w:rsidR="00F4020E">
              <w:rPr>
                <w:rFonts w:asciiTheme="minorHAnsi" w:eastAsiaTheme="minorEastAsia" w:hAnsiTheme="minorHAnsi" w:cstheme="minorBidi"/>
                <w:b w:val="0"/>
                <w:bCs w:val="0"/>
                <w:noProof/>
                <w:sz w:val="24"/>
                <w:szCs w:val="24"/>
                <w:lang w:eastAsia="en-GB"/>
              </w:rPr>
              <w:tab/>
            </w:r>
            <w:r w:rsidR="00F4020E" w:rsidRPr="00865626">
              <w:rPr>
                <w:rStyle w:val="Hyperlink"/>
                <w:noProof/>
              </w:rPr>
              <w:t>Appendices</w:t>
            </w:r>
            <w:r w:rsidR="00F4020E">
              <w:rPr>
                <w:noProof/>
                <w:webHidden/>
              </w:rPr>
              <w:tab/>
            </w:r>
            <w:r w:rsidR="00F4020E">
              <w:rPr>
                <w:noProof/>
                <w:webHidden/>
              </w:rPr>
              <w:fldChar w:fldCharType="begin"/>
            </w:r>
            <w:r w:rsidR="00F4020E">
              <w:rPr>
                <w:noProof/>
                <w:webHidden/>
              </w:rPr>
              <w:instrText xml:space="preserve"> PAGEREF _Toc94190431 \h </w:instrText>
            </w:r>
            <w:r w:rsidR="00F4020E">
              <w:rPr>
                <w:noProof/>
                <w:webHidden/>
              </w:rPr>
            </w:r>
            <w:r w:rsidR="00F4020E">
              <w:rPr>
                <w:noProof/>
                <w:webHidden/>
              </w:rPr>
              <w:fldChar w:fldCharType="separate"/>
            </w:r>
            <w:r w:rsidR="00F4020E">
              <w:rPr>
                <w:noProof/>
                <w:webHidden/>
              </w:rPr>
              <w:t>16</w:t>
            </w:r>
            <w:r w:rsidR="00F4020E">
              <w:rPr>
                <w:noProof/>
                <w:webHidden/>
              </w:rPr>
              <w:fldChar w:fldCharType="end"/>
            </w:r>
          </w:hyperlink>
        </w:p>
        <w:p w14:paraId="48C97020" w14:textId="6E16A393" w:rsidR="001B781F" w:rsidRDefault="001B781F" w:rsidP="001B781F">
          <w:r>
            <w:rPr>
              <w:b/>
              <w:bCs/>
              <w:noProof/>
            </w:rPr>
            <w:lastRenderedPageBreak/>
            <w:fldChar w:fldCharType="end"/>
          </w:r>
        </w:p>
      </w:sdtContent>
    </w:sdt>
    <w:p w14:paraId="5886CCCE" w14:textId="6BEAD092" w:rsidR="009C3B45" w:rsidRDefault="00B108AB" w:rsidP="001B781F">
      <w:pPr>
        <w:pStyle w:val="Heading1"/>
        <w:numPr>
          <w:ilvl w:val="0"/>
          <w:numId w:val="46"/>
        </w:numPr>
      </w:pPr>
      <w:r>
        <w:t xml:space="preserve"> </w:t>
      </w:r>
      <w:bookmarkStart w:id="2" w:name="_Toc94190411"/>
      <w:r w:rsidR="009C3B45" w:rsidRPr="008D150A">
        <w:t>Introductio</w:t>
      </w:r>
      <w:r w:rsidR="00154F1C">
        <w:t>n</w:t>
      </w:r>
      <w:bookmarkEnd w:id="2"/>
    </w:p>
    <w:p w14:paraId="2A5064A8" w14:textId="77777777" w:rsidR="00C4511B" w:rsidRPr="00C4511B" w:rsidRDefault="00C4511B" w:rsidP="00C4511B"/>
    <w:p w14:paraId="4B80C8F5" w14:textId="72DF5683" w:rsidR="00F5755F" w:rsidRPr="00BE5D11" w:rsidRDefault="009A7CE5" w:rsidP="008D150A">
      <w:pPr>
        <w:spacing w:line="360" w:lineRule="auto"/>
      </w:pPr>
      <w:r>
        <w:t>This report will analyse sustainability concerns and business responses within the</w:t>
      </w:r>
      <w:r w:rsidR="00AA4865">
        <w:t xml:space="preserve"> United Kingdom (UK)</w:t>
      </w:r>
      <w:r>
        <w:t xml:space="preserve"> </w:t>
      </w:r>
      <w:r w:rsidR="00CC781C">
        <w:t>electricity</w:t>
      </w:r>
      <w:r w:rsidR="00AA4865">
        <w:t xml:space="preserve"> generation</w:t>
      </w:r>
      <w:r>
        <w:t xml:space="preserve"> sector. </w:t>
      </w:r>
      <w:r w:rsidR="00A82A1D">
        <w:t xml:space="preserve">It will achieve this through </w:t>
      </w:r>
      <w:r w:rsidR="00FB1F9E">
        <w:t xml:space="preserve">firstly </w:t>
      </w:r>
      <w:r w:rsidR="00A82A1D">
        <w:t>evaluating the opportunities and constraints for sustainability</w:t>
      </w:r>
      <w:r w:rsidR="00FB1F9E">
        <w:t xml:space="preserve">, </w:t>
      </w:r>
      <w:r w:rsidR="004B076D">
        <w:t xml:space="preserve">specifically focussing on stakeholder relationships and business strategies. It will then </w:t>
      </w:r>
      <w:r w:rsidR="00CB4C9F">
        <w:t>discuss the current approaches to sustainability reporting within the sector</w:t>
      </w:r>
      <w:r w:rsidR="00584B9E">
        <w:t xml:space="preserve"> before making </w:t>
      </w:r>
      <w:r w:rsidR="00CB2290">
        <w:t>recommendations as to how the sector could improve in this area.</w:t>
      </w:r>
      <w:r w:rsidR="00CB4C9F">
        <w:t xml:space="preserve"> </w:t>
      </w:r>
      <w:r w:rsidR="004863EA">
        <w:t xml:space="preserve"> </w:t>
      </w:r>
    </w:p>
    <w:p w14:paraId="08BD66DD" w14:textId="07156F77" w:rsidR="00506D2B" w:rsidRPr="00D9142B" w:rsidRDefault="00B108AB" w:rsidP="001B781F">
      <w:pPr>
        <w:pStyle w:val="Heading1"/>
        <w:numPr>
          <w:ilvl w:val="0"/>
          <w:numId w:val="46"/>
        </w:numPr>
        <w:rPr>
          <w:rFonts w:cs="Arial"/>
        </w:rPr>
      </w:pPr>
      <w:r w:rsidRPr="00D9142B">
        <w:rPr>
          <w:rFonts w:cs="Arial"/>
        </w:rPr>
        <w:t xml:space="preserve"> </w:t>
      </w:r>
      <w:bookmarkStart w:id="3" w:name="_Toc94190412"/>
      <w:r w:rsidR="000274BE" w:rsidRPr="00D9142B">
        <w:rPr>
          <w:rFonts w:cs="Arial"/>
        </w:rPr>
        <w:t>S</w:t>
      </w:r>
      <w:r w:rsidR="00DA388A" w:rsidRPr="00D9142B">
        <w:rPr>
          <w:rFonts w:cs="Arial"/>
        </w:rPr>
        <w:t xml:space="preserve">ector </w:t>
      </w:r>
      <w:r w:rsidR="000274BE" w:rsidRPr="00D9142B">
        <w:rPr>
          <w:rFonts w:cs="Arial"/>
        </w:rPr>
        <w:t>O</w:t>
      </w:r>
      <w:r w:rsidR="00DA388A" w:rsidRPr="00D9142B">
        <w:rPr>
          <w:rFonts w:cs="Arial"/>
        </w:rPr>
        <w:t xml:space="preserve">pportunities and </w:t>
      </w:r>
      <w:r w:rsidR="000274BE" w:rsidRPr="00D9142B">
        <w:rPr>
          <w:rFonts w:cs="Arial"/>
        </w:rPr>
        <w:t>C</w:t>
      </w:r>
      <w:r w:rsidR="00DA388A" w:rsidRPr="00D9142B">
        <w:rPr>
          <w:rFonts w:cs="Arial"/>
        </w:rPr>
        <w:t xml:space="preserve">onstraints for </w:t>
      </w:r>
      <w:r w:rsidR="000274BE" w:rsidRPr="00D9142B">
        <w:rPr>
          <w:rFonts w:cs="Arial"/>
        </w:rPr>
        <w:t>S</w:t>
      </w:r>
      <w:r w:rsidR="00DA388A" w:rsidRPr="00D9142B">
        <w:rPr>
          <w:rFonts w:cs="Arial"/>
        </w:rPr>
        <w:t xml:space="preserve">ustainability </w:t>
      </w:r>
      <w:r w:rsidR="000274BE" w:rsidRPr="00D9142B">
        <w:rPr>
          <w:rFonts w:cs="Arial"/>
        </w:rPr>
        <w:t>M</w:t>
      </w:r>
      <w:r w:rsidR="00DA388A" w:rsidRPr="00D9142B">
        <w:rPr>
          <w:rFonts w:cs="Arial"/>
        </w:rPr>
        <w:t>anagement</w:t>
      </w:r>
      <w:bookmarkEnd w:id="3"/>
      <w:r w:rsidR="00AC5667" w:rsidRPr="00D9142B">
        <w:rPr>
          <w:rFonts w:cs="Arial"/>
        </w:rPr>
        <w:t xml:space="preserve"> </w:t>
      </w:r>
    </w:p>
    <w:p w14:paraId="5C61D590" w14:textId="77777777" w:rsidR="001B781F" w:rsidRPr="001B781F" w:rsidRDefault="001B781F" w:rsidP="001B781F"/>
    <w:p w14:paraId="7BA41D77" w14:textId="70730C0F" w:rsidR="00BC4C94" w:rsidRDefault="00E65C30" w:rsidP="008D150A">
      <w:pPr>
        <w:spacing w:line="360" w:lineRule="auto"/>
      </w:pPr>
      <w:r>
        <w:t xml:space="preserve">The UK electricity generation sector is </w:t>
      </w:r>
      <w:r w:rsidR="00435501">
        <w:t xml:space="preserve">responsible for producing the electricity that is used across the region. </w:t>
      </w:r>
      <w:r w:rsidR="00F44B45">
        <w:t xml:space="preserve">There are a variety of sources of electricity used in the UK, </w:t>
      </w:r>
      <w:r w:rsidR="00CC3F52">
        <w:t>including gas-firing, coal-firing</w:t>
      </w:r>
      <w:r w:rsidR="00C609C5">
        <w:t xml:space="preserve"> and</w:t>
      </w:r>
      <w:r w:rsidR="00CC3F52">
        <w:t xml:space="preserve"> renewable sources (Griffin, 2020).</w:t>
      </w:r>
      <w:r w:rsidR="008B7C7C">
        <w:t xml:space="preserve"> While there has been </w:t>
      </w:r>
      <w:r w:rsidR="00071A72">
        <w:t>a recent</w:t>
      </w:r>
      <w:r w:rsidR="008B7C7C">
        <w:t xml:space="preserve"> increase in </w:t>
      </w:r>
      <w:r w:rsidR="008D70B6">
        <w:t>imported energy</w:t>
      </w:r>
      <w:r w:rsidR="00491A15">
        <w:t xml:space="preserve">, the UK still produced 120 </w:t>
      </w:r>
      <w:r w:rsidR="003D1596">
        <w:t xml:space="preserve">million tonnes of oil equivalent </w:t>
      </w:r>
      <w:r w:rsidR="00071A72">
        <w:t>in 2017</w:t>
      </w:r>
      <w:r w:rsidR="008D70B6">
        <w:t xml:space="preserve"> (</w:t>
      </w:r>
      <w:r w:rsidR="008D70B6">
        <w:rPr>
          <w:i/>
          <w:iCs/>
        </w:rPr>
        <w:t xml:space="preserve">IEA, </w:t>
      </w:r>
      <w:r w:rsidR="008D70B6">
        <w:t>2019)</w:t>
      </w:r>
      <w:r w:rsidR="00071A72">
        <w:t>.</w:t>
      </w:r>
      <w:r w:rsidR="00CC3F52">
        <w:t xml:space="preserve"> </w:t>
      </w:r>
      <w:r w:rsidR="00435A6C">
        <w:t xml:space="preserve">That </w:t>
      </w:r>
      <w:r w:rsidR="00435A6C">
        <w:rPr>
          <w:i/>
          <w:iCs/>
        </w:rPr>
        <w:t xml:space="preserve">IEA </w:t>
      </w:r>
      <w:r w:rsidR="00435A6C">
        <w:t>(2019) report also states that 40% of the electricity generated comes from oil</w:t>
      </w:r>
      <w:r w:rsidR="00873027">
        <w:t xml:space="preserve"> and 30% from natural gas</w:t>
      </w:r>
      <w:r w:rsidR="00205C88">
        <w:t>.</w:t>
      </w:r>
    </w:p>
    <w:p w14:paraId="7BC8B8FD" w14:textId="460457ED" w:rsidR="00883A85" w:rsidRPr="00EF7B21" w:rsidRDefault="00EB0B26" w:rsidP="008D150A">
      <w:pPr>
        <w:spacing w:line="360" w:lineRule="auto"/>
        <w:rPr>
          <w:color w:val="FF0000"/>
        </w:rPr>
      </w:pPr>
      <w:r>
        <w:t>This first section of the report will discuss the opportunities and constraints for sustainability management within the sector, primarily focussing on stakeholder relationships and business strategies.</w:t>
      </w:r>
      <w:r w:rsidR="00924145">
        <w:t xml:space="preserve"> </w:t>
      </w:r>
      <w:r w:rsidR="006E7CC5">
        <w:t xml:space="preserve">Environmental responsibility is the prominent issue in the sector </w:t>
      </w:r>
      <w:r w:rsidR="000A1E05">
        <w:t xml:space="preserve">due to </w:t>
      </w:r>
      <w:r w:rsidR="005D7934">
        <w:t xml:space="preserve">the large amount of emissions that it currently produces </w:t>
      </w:r>
      <w:r w:rsidR="00E46405">
        <w:t xml:space="preserve">(Sithole </w:t>
      </w:r>
      <w:r w:rsidR="00E46405">
        <w:rPr>
          <w:i/>
          <w:iCs/>
        </w:rPr>
        <w:t xml:space="preserve">et al., </w:t>
      </w:r>
      <w:r w:rsidR="00E46405">
        <w:t>201</w:t>
      </w:r>
      <w:r w:rsidR="006029BB">
        <w:t>6)</w:t>
      </w:r>
      <w:r w:rsidR="00960125">
        <w:t xml:space="preserve">. </w:t>
      </w:r>
      <w:r w:rsidR="00250954">
        <w:t xml:space="preserve">The opportunities and constraints revolve predominantly around </w:t>
      </w:r>
      <w:r w:rsidR="00100964">
        <w:t>the organisation’s stakeholders, and the strategies that they use to provide value to the stakeholders that they feel are most important.</w:t>
      </w:r>
    </w:p>
    <w:p w14:paraId="1DEBE81B" w14:textId="0B67B081" w:rsidR="00157911" w:rsidRDefault="00091904" w:rsidP="004434FD">
      <w:pPr>
        <w:pStyle w:val="Heading2"/>
        <w:numPr>
          <w:ilvl w:val="1"/>
          <w:numId w:val="46"/>
        </w:numPr>
      </w:pPr>
      <w:bookmarkStart w:id="4" w:name="_Toc94190413"/>
      <w:r w:rsidRPr="008D150A">
        <w:t>Stakeholder/</w:t>
      </w:r>
      <w:r w:rsidR="00C606B6" w:rsidRPr="008D150A">
        <w:t>P</w:t>
      </w:r>
      <w:r w:rsidRPr="008D150A">
        <w:t xml:space="preserve">artnership </w:t>
      </w:r>
      <w:r w:rsidR="00C606B6" w:rsidRPr="008D150A">
        <w:t>A</w:t>
      </w:r>
      <w:r w:rsidRPr="008D150A">
        <w:t>nalysis</w:t>
      </w:r>
      <w:bookmarkEnd w:id="4"/>
      <w:r w:rsidR="00157911" w:rsidRPr="008D150A">
        <w:t xml:space="preserve"> </w:t>
      </w:r>
    </w:p>
    <w:p w14:paraId="23EB04EE" w14:textId="77777777" w:rsidR="000310D9" w:rsidRPr="000310D9" w:rsidRDefault="000310D9" w:rsidP="000310D9"/>
    <w:p w14:paraId="633D14FC" w14:textId="5B355F46" w:rsidR="00852B07" w:rsidRDefault="00C80D7A" w:rsidP="008D150A">
      <w:pPr>
        <w:spacing w:line="360" w:lineRule="auto"/>
      </w:pPr>
      <w:r>
        <w:t>Matten and Crane (2005) discuss how incorporating a wider variety of stakeholders</w:t>
      </w:r>
      <w:r w:rsidR="00EE7E5E">
        <w:t xml:space="preserve"> into a </w:t>
      </w:r>
      <w:r w:rsidR="009C0496">
        <w:t>company’s</w:t>
      </w:r>
      <w:r w:rsidR="00EE7E5E">
        <w:t xml:space="preserve"> </w:t>
      </w:r>
      <w:r w:rsidR="009C0496">
        <w:t>decision-making</w:t>
      </w:r>
      <w:r>
        <w:t xml:space="preserve"> can increase long-term prospects.</w:t>
      </w:r>
      <w:r w:rsidR="00916DE9">
        <w:t xml:space="preserve"> </w:t>
      </w:r>
      <w:r w:rsidR="00F229D1">
        <w:t xml:space="preserve">The </w:t>
      </w:r>
      <w:r w:rsidR="00916DE9">
        <w:t>modern corporation needs to communicate effectively with any group or individual who are impacted by their actions.</w:t>
      </w:r>
      <w:r w:rsidR="00F229D1">
        <w:t xml:space="preserve"> This is </w:t>
      </w:r>
      <w:r w:rsidR="00233C74">
        <w:t>a crucial area of discussion within the electricity generation sector and therefore is a focus of this report.</w:t>
      </w:r>
      <w:r w:rsidR="00916DE9">
        <w:t xml:space="preserve"> </w:t>
      </w:r>
      <w:r w:rsidR="006F5B10">
        <w:t>Throughout this</w:t>
      </w:r>
      <w:r w:rsidR="00C13122">
        <w:t xml:space="preserve"> section</w:t>
      </w:r>
      <w:r w:rsidR="006F5B10">
        <w:t xml:space="preserve">, </w:t>
      </w:r>
      <w:r w:rsidR="006F5B10">
        <w:lastRenderedPageBreak/>
        <w:t xml:space="preserve">analysis will be provided on the importance of a variety of </w:t>
      </w:r>
      <w:r w:rsidR="003E108B">
        <w:t>stakeholders that influence, and are influenced by, the electricity generation sector.</w:t>
      </w:r>
      <w:r w:rsidR="00916DE9">
        <w:t xml:space="preserve"> </w:t>
      </w:r>
      <w:r w:rsidR="009C0496">
        <w:t xml:space="preserve"> </w:t>
      </w:r>
    </w:p>
    <w:p w14:paraId="125F7FD8" w14:textId="6C5C2B97" w:rsidR="00852B07" w:rsidRDefault="00852B07" w:rsidP="004434FD">
      <w:pPr>
        <w:pStyle w:val="Heading3"/>
        <w:numPr>
          <w:ilvl w:val="2"/>
          <w:numId w:val="46"/>
        </w:numPr>
      </w:pPr>
      <w:bookmarkStart w:id="5" w:name="_Toc94190414"/>
      <w:r w:rsidRPr="008D150A">
        <w:rPr>
          <w:rStyle w:val="Strong"/>
          <w:b w:val="0"/>
          <w:bCs w:val="0"/>
        </w:rPr>
        <w:t>Governments/Regulations</w:t>
      </w:r>
      <w:bookmarkEnd w:id="5"/>
      <w:r w:rsidR="0081217E" w:rsidRPr="008D150A">
        <w:t xml:space="preserve"> </w:t>
      </w:r>
    </w:p>
    <w:p w14:paraId="270134AC" w14:textId="77777777" w:rsidR="000310D9" w:rsidRPr="000310D9" w:rsidRDefault="000310D9" w:rsidP="000310D9"/>
    <w:p w14:paraId="39D1960F" w14:textId="57566812" w:rsidR="007B162F" w:rsidRDefault="007B162F" w:rsidP="008D150A">
      <w:pPr>
        <w:spacing w:line="360" w:lineRule="auto"/>
      </w:pPr>
      <w:r>
        <w:t xml:space="preserve">Within all sectors, the government has a major influence </w:t>
      </w:r>
      <w:r w:rsidR="006F55A8">
        <w:t xml:space="preserve">on the actions </w:t>
      </w:r>
      <w:r w:rsidR="00E029F1">
        <w:t xml:space="preserve">that can </w:t>
      </w:r>
      <w:r w:rsidR="00E92084">
        <w:t xml:space="preserve">be undertaken by organisations. </w:t>
      </w:r>
      <w:r w:rsidR="00A6117B">
        <w:t>Laws are passed</w:t>
      </w:r>
      <w:r w:rsidR="009D6046">
        <w:t>, which come together to make legislation (</w:t>
      </w:r>
      <w:r w:rsidR="003B2030">
        <w:rPr>
          <w:i/>
          <w:iCs/>
        </w:rPr>
        <w:t xml:space="preserve">legislation.gov.uk, </w:t>
      </w:r>
      <w:r w:rsidR="006062BC">
        <w:t>2020)</w:t>
      </w:r>
      <w:r w:rsidR="007B2E60">
        <w:t xml:space="preserve">, and businesses </w:t>
      </w:r>
      <w:r w:rsidR="00F14B13">
        <w:t>must</w:t>
      </w:r>
      <w:r w:rsidR="007B2E60">
        <w:t xml:space="preserve"> act within these rules</w:t>
      </w:r>
      <w:r w:rsidR="006062BC">
        <w:t>.</w:t>
      </w:r>
      <w:r w:rsidR="007B2E60">
        <w:t xml:space="preserve"> </w:t>
      </w:r>
      <w:r w:rsidR="00E122CC">
        <w:t>The 2008 Climate Change Act</w:t>
      </w:r>
      <w:r w:rsidR="001E212E">
        <w:t xml:space="preserve"> (</w:t>
      </w:r>
      <w:r w:rsidR="001E212E">
        <w:rPr>
          <w:i/>
          <w:iCs/>
        </w:rPr>
        <w:t>HM Government</w:t>
      </w:r>
      <w:r w:rsidR="00D059CF">
        <w:rPr>
          <w:i/>
          <w:iCs/>
        </w:rPr>
        <w:t xml:space="preserve">, </w:t>
      </w:r>
      <w:r w:rsidR="00D059CF">
        <w:t>2008:1)</w:t>
      </w:r>
      <w:r w:rsidR="000B397C">
        <w:t xml:space="preserve"> </w:t>
      </w:r>
      <w:r w:rsidR="001E212E">
        <w:t>is a legally binding approach that states that the UK carbon account in</w:t>
      </w:r>
      <w:r w:rsidR="00D059CF">
        <w:t xml:space="preserve"> 2050 must be ‘at least 80% lower than the 1990 baseline’.</w:t>
      </w:r>
      <w:r w:rsidR="001E212E">
        <w:t xml:space="preserve"> </w:t>
      </w:r>
      <w:r w:rsidR="00A030C0">
        <w:t xml:space="preserve">This suggests that the government is taking a lead role </w:t>
      </w:r>
      <w:r w:rsidR="00063EB8">
        <w:t xml:space="preserve">in regulating the actions of organisations within the sector. </w:t>
      </w:r>
      <w:r w:rsidR="008E476C">
        <w:t xml:space="preserve">It is important that the government balances their aims for sustainability with matching the </w:t>
      </w:r>
      <w:r w:rsidR="001C1612">
        <w:t>increasing demand for electricity worldwide (Chalvatzis and Hooper, 2009).</w:t>
      </w:r>
    </w:p>
    <w:p w14:paraId="587B091B" w14:textId="744E64DA" w:rsidR="00852B07" w:rsidRDefault="00852B07" w:rsidP="004434FD">
      <w:pPr>
        <w:pStyle w:val="Heading3"/>
        <w:numPr>
          <w:ilvl w:val="2"/>
          <w:numId w:val="46"/>
        </w:numPr>
        <w:rPr>
          <w:rStyle w:val="Strong"/>
          <w:b w:val="0"/>
          <w:bCs w:val="0"/>
        </w:rPr>
      </w:pPr>
      <w:bookmarkStart w:id="6" w:name="_Toc94190415"/>
      <w:r w:rsidRPr="008D150A">
        <w:rPr>
          <w:rStyle w:val="Strong"/>
          <w:b w:val="0"/>
          <w:bCs w:val="0"/>
        </w:rPr>
        <w:t>Civil Society</w:t>
      </w:r>
      <w:bookmarkEnd w:id="6"/>
    </w:p>
    <w:p w14:paraId="7E7FEC23" w14:textId="77777777" w:rsidR="000310D9" w:rsidRPr="000310D9" w:rsidRDefault="000310D9" w:rsidP="000310D9"/>
    <w:p w14:paraId="5134257A" w14:textId="1BBB468F" w:rsidR="003F0FC7" w:rsidRDefault="006B4CA3" w:rsidP="003F0FC7">
      <w:pPr>
        <w:spacing w:line="360" w:lineRule="auto"/>
      </w:pPr>
      <w:r>
        <w:t xml:space="preserve">Edwards (2019) discusses </w:t>
      </w:r>
      <w:r w:rsidR="000167E7">
        <w:t xml:space="preserve">how civil society includes individuals and organisations </w:t>
      </w:r>
      <w:r w:rsidR="001C4D49">
        <w:t xml:space="preserve">who </w:t>
      </w:r>
      <w:r w:rsidR="002B157B">
        <w:t>are fundamentally interested in making improvements</w:t>
      </w:r>
      <w:r w:rsidR="00E679C5">
        <w:t xml:space="preserve"> to sectors</w:t>
      </w:r>
      <w:r w:rsidR="00AA6885">
        <w:t xml:space="preserve">. </w:t>
      </w:r>
      <w:r w:rsidR="001633E1">
        <w:t>The electricity sector</w:t>
      </w:r>
      <w:r w:rsidR="007A35CB">
        <w:t xml:space="preserve"> is particularly impacted by these groups, </w:t>
      </w:r>
      <w:r w:rsidR="001D7BD4">
        <w:t>who are becoming more dominant in influencing decisions.</w:t>
      </w:r>
      <w:r w:rsidR="00823BF5">
        <w:t xml:space="preserve"> </w:t>
      </w:r>
      <w:r w:rsidR="00966691">
        <w:t xml:space="preserve">Foxon (2013) discusses a possibly </w:t>
      </w:r>
      <w:r w:rsidR="00A0324D">
        <w:t xml:space="preserve">pathway for the sector where civil society </w:t>
      </w:r>
      <w:r w:rsidR="00E85E39">
        <w:t xml:space="preserve">takes greater responsibility for the creation and transmission of low-carbon electricity. </w:t>
      </w:r>
      <w:r w:rsidR="005476B5">
        <w:t xml:space="preserve">Because of this, </w:t>
      </w:r>
      <w:r w:rsidR="00646941">
        <w:t xml:space="preserve">residents will be more engaged with </w:t>
      </w:r>
      <w:r w:rsidR="00097881">
        <w:t xml:space="preserve">where their energy comes from and can decrease the </w:t>
      </w:r>
      <w:r w:rsidR="005159D0">
        <w:t xml:space="preserve">emissions released </w:t>
      </w:r>
      <w:r w:rsidR="00272A35">
        <w:t>by</w:t>
      </w:r>
      <w:r w:rsidR="005159D0">
        <w:t xml:space="preserve"> the sector.</w:t>
      </w:r>
      <w:r w:rsidR="00117FDE">
        <w:t xml:space="preserve"> </w:t>
      </w:r>
      <w:r w:rsidR="009B4393">
        <w:t xml:space="preserve">However, </w:t>
      </w:r>
      <w:r w:rsidR="00C30C6E">
        <w:t xml:space="preserve">Johnson and Hall (2014) argue that leading the sector in this direction </w:t>
      </w:r>
      <w:r w:rsidR="00FA77AC">
        <w:t xml:space="preserve">‘could reproduce a range of existing socio-economic inequalities’, which suggests that </w:t>
      </w:r>
      <w:r w:rsidR="008C0685">
        <w:t>a decentralised system might have negative side-effects.</w:t>
      </w:r>
      <w:r w:rsidR="005159D0">
        <w:t xml:space="preserve"> </w:t>
      </w:r>
      <w:r w:rsidR="006D06E5">
        <w:t xml:space="preserve">The sector needs </w:t>
      </w:r>
      <w:r w:rsidR="005E1274">
        <w:t xml:space="preserve">to be careful to balance their </w:t>
      </w:r>
      <w:r w:rsidR="00434D37">
        <w:t xml:space="preserve">goals of being sustainable with </w:t>
      </w:r>
      <w:r w:rsidR="00D20C29">
        <w:t>matching the needs of all consumers.</w:t>
      </w:r>
    </w:p>
    <w:p w14:paraId="7588E860" w14:textId="0C92FF1E" w:rsidR="00852B07" w:rsidRDefault="00852B07" w:rsidP="004434FD">
      <w:pPr>
        <w:pStyle w:val="Heading3"/>
        <w:numPr>
          <w:ilvl w:val="2"/>
          <w:numId w:val="46"/>
        </w:numPr>
      </w:pPr>
      <w:bookmarkStart w:id="7" w:name="_Toc94190416"/>
      <w:r w:rsidRPr="00481336">
        <w:rPr>
          <w:rStyle w:val="Strong"/>
          <w:b w:val="0"/>
          <w:bCs w:val="0"/>
        </w:rPr>
        <w:t>Consumers</w:t>
      </w:r>
      <w:bookmarkEnd w:id="7"/>
      <w:r w:rsidR="0081217E" w:rsidRPr="00481336">
        <w:t xml:space="preserve"> </w:t>
      </w:r>
    </w:p>
    <w:p w14:paraId="7E51D3DF" w14:textId="77777777" w:rsidR="000310D9" w:rsidRPr="000310D9" w:rsidRDefault="000310D9" w:rsidP="000310D9"/>
    <w:p w14:paraId="74F17074" w14:textId="43BB541C" w:rsidR="00D773A4" w:rsidRDefault="00940ABB" w:rsidP="008D150A">
      <w:pPr>
        <w:spacing w:line="360" w:lineRule="auto"/>
      </w:pPr>
      <w:r>
        <w:t xml:space="preserve">Electricity </w:t>
      </w:r>
      <w:r w:rsidR="00335B77">
        <w:t xml:space="preserve">is a </w:t>
      </w:r>
      <w:r w:rsidR="00CF39C9">
        <w:t>crucial</w:t>
      </w:r>
      <w:r w:rsidR="00335B77">
        <w:t xml:space="preserve"> part of modern society</w:t>
      </w:r>
      <w:r w:rsidR="008755AA">
        <w:t xml:space="preserve"> and the electricity generated in the UK is used across the country</w:t>
      </w:r>
      <w:r w:rsidR="00B30DC1">
        <w:t xml:space="preserve"> (Golombek </w:t>
      </w:r>
      <w:r w:rsidR="00B30DC1">
        <w:rPr>
          <w:i/>
          <w:iCs/>
        </w:rPr>
        <w:t xml:space="preserve">et al., </w:t>
      </w:r>
      <w:r w:rsidR="00B30DC1">
        <w:t>2013)</w:t>
      </w:r>
      <w:r w:rsidR="008755AA">
        <w:t>.</w:t>
      </w:r>
      <w:r w:rsidR="001D4435">
        <w:t xml:space="preserve"> Consumers can have an influence on</w:t>
      </w:r>
      <w:r w:rsidR="000554E7">
        <w:t xml:space="preserve"> </w:t>
      </w:r>
      <w:r w:rsidR="00DA4F0E">
        <w:t>the secto</w:t>
      </w:r>
      <w:r w:rsidR="003757FC">
        <w:t>r, particularly when the market becomes more competitive.</w:t>
      </w:r>
      <w:r w:rsidR="001D4435">
        <w:t xml:space="preserve"> </w:t>
      </w:r>
      <w:r w:rsidR="003D1D40">
        <w:t>A</w:t>
      </w:r>
      <w:r w:rsidR="008A1F8E">
        <w:t xml:space="preserve"> change in legislation in the 1980s has resulted in a </w:t>
      </w:r>
      <w:r w:rsidR="001F49BC">
        <w:t>highly competitive market</w:t>
      </w:r>
      <w:r w:rsidR="006831DF">
        <w:t xml:space="preserve">; the </w:t>
      </w:r>
      <w:r w:rsidR="006831DF">
        <w:lastRenderedPageBreak/>
        <w:t xml:space="preserve">legislation was brought in to protect </w:t>
      </w:r>
      <w:r w:rsidR="007B1A37">
        <w:t>end</w:t>
      </w:r>
      <w:r w:rsidR="006831DF">
        <w:t xml:space="preserve"> consumers from monopoly power</w:t>
      </w:r>
      <w:r w:rsidR="00EF6381">
        <w:t xml:space="preserve"> (Bolton </w:t>
      </w:r>
      <w:r w:rsidR="00EF6381">
        <w:rPr>
          <w:i/>
          <w:iCs/>
        </w:rPr>
        <w:t>et al.</w:t>
      </w:r>
      <w:r w:rsidR="00EF6381">
        <w:t>, 2016).</w:t>
      </w:r>
      <w:r w:rsidR="002A6FB2">
        <w:t xml:space="preserve"> </w:t>
      </w:r>
    </w:p>
    <w:p w14:paraId="47628F6D" w14:textId="304ACB08" w:rsidR="00F37E78" w:rsidRPr="00852B07" w:rsidRDefault="00C070C0" w:rsidP="008D150A">
      <w:pPr>
        <w:spacing w:line="360" w:lineRule="auto"/>
      </w:pPr>
      <w:r>
        <w:t>This power returns to the consumer when they come together with a single vision</w:t>
      </w:r>
      <w:r w:rsidR="006A3F94">
        <w:t xml:space="preserve"> </w:t>
      </w:r>
      <w:r w:rsidR="006A3F94" w:rsidRPr="006A3F94">
        <w:t>(Umit Kucuk and Krishnamurthy, 2007)</w:t>
      </w:r>
      <w:r w:rsidR="006A3F94">
        <w:t xml:space="preserve">. </w:t>
      </w:r>
      <w:r w:rsidR="00ED53D1">
        <w:t>Consumer concern surrounding the over-use of limited resources including coal and oil</w:t>
      </w:r>
      <w:r w:rsidR="007A5BAD">
        <w:t xml:space="preserve"> has resulted in companies adapting their business strategies to </w:t>
      </w:r>
      <w:r w:rsidR="00CB76AD">
        <w:t xml:space="preserve">reduce the concern </w:t>
      </w:r>
      <w:r w:rsidR="00627B68">
        <w:t xml:space="preserve">(Grubb </w:t>
      </w:r>
      <w:r w:rsidR="00627B68">
        <w:rPr>
          <w:i/>
          <w:iCs/>
        </w:rPr>
        <w:t>et al.</w:t>
      </w:r>
      <w:r w:rsidR="00627B68">
        <w:t>, 2006).</w:t>
      </w:r>
      <w:r w:rsidR="0019685D">
        <w:t xml:space="preserve"> EDF are a large electricity company who have recently started using zero carbon marketing </w:t>
      </w:r>
      <w:r w:rsidR="00D213CA">
        <w:t xml:space="preserve">to attract these consumers </w:t>
      </w:r>
      <w:r w:rsidR="00D67EDE" w:rsidRPr="00D67EDE">
        <w:t>(EDF Energy, 2020)</w:t>
      </w:r>
      <w:r w:rsidR="007101E7">
        <w:t>. This shift in marketing focus shows that as consumer demand for</w:t>
      </w:r>
      <w:r w:rsidR="00F24A80">
        <w:t xml:space="preserve"> a more sustainable approach to sustainable electricity generation has increased, </w:t>
      </w:r>
      <w:r w:rsidR="002117BA">
        <w:t>companies are responding and are giving consumers what they desire.</w:t>
      </w:r>
    </w:p>
    <w:p w14:paraId="7BCA6450" w14:textId="53EEC1A7" w:rsidR="00AC31C8" w:rsidRDefault="00634CAE" w:rsidP="004434FD">
      <w:pPr>
        <w:pStyle w:val="Heading2"/>
        <w:numPr>
          <w:ilvl w:val="1"/>
          <w:numId w:val="46"/>
        </w:numPr>
      </w:pPr>
      <w:bookmarkStart w:id="8" w:name="_Toc94190417"/>
      <w:r w:rsidRPr="003F0FC7">
        <w:t>B</w:t>
      </w:r>
      <w:r w:rsidR="00157911" w:rsidRPr="003F0FC7">
        <w:t xml:space="preserve">usiness </w:t>
      </w:r>
      <w:r w:rsidR="00C606B6" w:rsidRPr="003F0FC7">
        <w:t>S</w:t>
      </w:r>
      <w:r w:rsidR="00157911" w:rsidRPr="003F0FC7">
        <w:t xml:space="preserve">trategy for </w:t>
      </w:r>
      <w:r w:rsidR="00C606B6" w:rsidRPr="003F0FC7">
        <w:t>S</w:t>
      </w:r>
      <w:r w:rsidR="00157911" w:rsidRPr="003F0FC7">
        <w:t>ustainability</w:t>
      </w:r>
      <w:bookmarkEnd w:id="8"/>
      <w:r w:rsidR="00AC5667" w:rsidRPr="003F0FC7">
        <w:t xml:space="preserve"> </w:t>
      </w:r>
    </w:p>
    <w:p w14:paraId="28CEFC5E" w14:textId="77777777" w:rsidR="00154F1C" w:rsidRPr="00154F1C" w:rsidRDefault="00154F1C" w:rsidP="00154F1C"/>
    <w:p w14:paraId="349A91D5" w14:textId="73D14BA0" w:rsidR="003F0FC7" w:rsidRPr="0065295E" w:rsidRDefault="00B9552D" w:rsidP="008D150A">
      <w:pPr>
        <w:spacing w:line="360" w:lineRule="auto"/>
      </w:pPr>
      <w:r>
        <w:t>T</w:t>
      </w:r>
      <w:r w:rsidR="00992FDF">
        <w:t>he extent to which s</w:t>
      </w:r>
      <w:r w:rsidR="00232D43">
        <w:t xml:space="preserve">ustainability has been integrated into business strategy within the </w:t>
      </w:r>
      <w:r w:rsidR="00992FDF">
        <w:t>sector will now be evaluated</w:t>
      </w:r>
      <w:r w:rsidR="00232D43">
        <w:t xml:space="preserve">. </w:t>
      </w:r>
      <w:r w:rsidR="00992FDF">
        <w:t xml:space="preserve">Analysis will be provided on </w:t>
      </w:r>
      <w:r w:rsidR="007456E6">
        <w:t xml:space="preserve">the </w:t>
      </w:r>
      <w:r w:rsidR="00341F9A">
        <w:t xml:space="preserve">practices and approaches of organisations within the sector </w:t>
      </w:r>
      <w:r w:rsidR="00444000">
        <w:t xml:space="preserve">concerning responsible management, marketing and corporate governance. </w:t>
      </w:r>
    </w:p>
    <w:p w14:paraId="5352589D" w14:textId="69323EFF" w:rsidR="00094BB3" w:rsidRDefault="00002845" w:rsidP="004434FD">
      <w:pPr>
        <w:pStyle w:val="Heading3"/>
        <w:numPr>
          <w:ilvl w:val="2"/>
          <w:numId w:val="46"/>
        </w:numPr>
      </w:pPr>
      <w:bookmarkStart w:id="9" w:name="_Toc94190418"/>
      <w:r>
        <w:t>R</w:t>
      </w:r>
      <w:r w:rsidR="00094BB3" w:rsidRPr="003F0FC7">
        <w:t>esponsible</w:t>
      </w:r>
      <w:r>
        <w:t xml:space="preserve"> Management</w:t>
      </w:r>
      <w:bookmarkEnd w:id="9"/>
    </w:p>
    <w:p w14:paraId="47A79ECB" w14:textId="77777777" w:rsidR="00C4511B" w:rsidRPr="00C4511B" w:rsidRDefault="00C4511B" w:rsidP="00C4511B"/>
    <w:p w14:paraId="3D1F30C9" w14:textId="5A3FDDEE" w:rsidR="0075081B" w:rsidRPr="0075081B" w:rsidRDefault="00002845" w:rsidP="0075081B">
      <w:pPr>
        <w:spacing w:line="360" w:lineRule="auto"/>
      </w:pPr>
      <w:r>
        <w:t>Responsible management is approached in a variety of ways within the sector</w:t>
      </w:r>
      <w:r w:rsidR="0075081B">
        <w:t xml:space="preserve">. </w:t>
      </w:r>
      <w:r w:rsidR="008C34DF">
        <w:t xml:space="preserve">Freeman (2010) argues that </w:t>
      </w:r>
      <w:r w:rsidR="00A85B5D">
        <w:t>businesses must</w:t>
      </w:r>
      <w:r w:rsidR="00C41FE3">
        <w:t xml:space="preserve"> </w:t>
      </w:r>
      <w:r w:rsidR="00E56F0A">
        <w:t xml:space="preserve">take responsibility for the impact of their actions </w:t>
      </w:r>
      <w:r w:rsidR="00896634">
        <w:t>in contrary to simply acting within the nation’s laws</w:t>
      </w:r>
      <w:r w:rsidR="008E596A">
        <w:t xml:space="preserve">. </w:t>
      </w:r>
      <w:r w:rsidR="00C86AC3">
        <w:t xml:space="preserve">Fossil fuels remain the </w:t>
      </w:r>
      <w:r w:rsidR="00A01C8B">
        <w:t xml:space="preserve">primary source of electricity in the UK, generating 27% of total national emissions (Sithole </w:t>
      </w:r>
      <w:r w:rsidR="00A01C8B">
        <w:rPr>
          <w:i/>
          <w:iCs/>
        </w:rPr>
        <w:t>et al.,</w:t>
      </w:r>
      <w:r w:rsidR="00A01C8B">
        <w:t xml:space="preserve"> 2016)</w:t>
      </w:r>
      <w:r w:rsidR="00293750">
        <w:t xml:space="preserve">, however this is set to change. </w:t>
      </w:r>
      <w:r w:rsidR="00F73C7A">
        <w:t xml:space="preserve">In 1990 the utilities sector was </w:t>
      </w:r>
      <w:r w:rsidR="00987A7B">
        <w:t>restructured</w:t>
      </w:r>
      <w:r w:rsidR="00F73C7A">
        <w:t xml:space="preserve">, which </w:t>
      </w:r>
      <w:r w:rsidR="00FF6A95">
        <w:t>Jamasb and Pollitt (2011) claim</w:t>
      </w:r>
      <w:r w:rsidR="00987A7B">
        <w:t xml:space="preserve"> resulted in a decrease in research and development. However, their </w:t>
      </w:r>
      <w:r w:rsidR="00896634">
        <w:t>latest</w:t>
      </w:r>
      <w:r w:rsidR="00987A7B">
        <w:t xml:space="preserve"> report (Jamasb and Pollitt, 2015) states that this was changing; the core reason behind this being the </w:t>
      </w:r>
      <w:r w:rsidR="005C552F">
        <w:t xml:space="preserve">substantial benefits </w:t>
      </w:r>
      <w:r w:rsidR="00F11840">
        <w:t xml:space="preserve">to be found, both financial and environmental. </w:t>
      </w:r>
      <w:r w:rsidR="00330B7B">
        <w:t xml:space="preserve">The research suggests that the major </w:t>
      </w:r>
      <w:r w:rsidR="00F64817">
        <w:t xml:space="preserve">increases in environmental </w:t>
      </w:r>
      <w:r w:rsidR="00500DF0">
        <w:t>consideration</w:t>
      </w:r>
      <w:r w:rsidR="00F64817">
        <w:t xml:space="preserve"> have come due to the potential profit to be made from it</w:t>
      </w:r>
      <w:r w:rsidR="00A85B5D">
        <w:t>.</w:t>
      </w:r>
      <w:r w:rsidR="00516C4B">
        <w:t xml:space="preserve"> </w:t>
      </w:r>
      <w:r w:rsidR="00A85B5D">
        <w:t xml:space="preserve">While Elkington (1998) suggests that businesses should consider people and planet before focussing on profit, </w:t>
      </w:r>
      <w:r w:rsidR="001B624B">
        <w:t>the profitability of this approach could be beneficial creating shared value for a variety of stakeholders. This will be discussed in more detail later in the report.</w:t>
      </w:r>
      <w:r w:rsidR="009959EF">
        <w:t xml:space="preserve"> </w:t>
      </w:r>
      <w:r w:rsidR="00516C4B">
        <w:t xml:space="preserve"> </w:t>
      </w:r>
    </w:p>
    <w:p w14:paraId="5EBD9686" w14:textId="0483A9A4" w:rsidR="00094BB3" w:rsidRDefault="00094BB3" w:rsidP="004434FD">
      <w:pPr>
        <w:pStyle w:val="Heading3"/>
        <w:numPr>
          <w:ilvl w:val="2"/>
          <w:numId w:val="46"/>
        </w:numPr>
      </w:pPr>
      <w:bookmarkStart w:id="10" w:name="_Toc94190419"/>
      <w:r w:rsidRPr="003F0FC7">
        <w:lastRenderedPageBreak/>
        <w:t>Marketing</w:t>
      </w:r>
      <w:bookmarkEnd w:id="10"/>
      <w:r w:rsidRPr="003F0FC7">
        <w:t xml:space="preserve"> </w:t>
      </w:r>
    </w:p>
    <w:p w14:paraId="4A0FAE87" w14:textId="77777777" w:rsidR="00C4511B" w:rsidRPr="00C4511B" w:rsidRDefault="00C4511B" w:rsidP="00C4511B"/>
    <w:p w14:paraId="75AD1931" w14:textId="08F1ADF8" w:rsidR="00465E3C" w:rsidRPr="00AC31C8" w:rsidRDefault="009C3465" w:rsidP="008D150A">
      <w:pPr>
        <w:spacing w:line="360" w:lineRule="auto"/>
      </w:pPr>
      <w:r>
        <w:t xml:space="preserve">The marketing </w:t>
      </w:r>
      <w:r w:rsidR="00BA1426">
        <w:t>strategies that are undertaken by the sector can have a significant influence on the ability of the companies to be responsible</w:t>
      </w:r>
      <w:r w:rsidR="001C4957">
        <w:t xml:space="preserve">. </w:t>
      </w:r>
      <w:r w:rsidR="00297B82">
        <w:t xml:space="preserve">Kotler </w:t>
      </w:r>
      <w:r w:rsidR="00CD4C4B">
        <w:rPr>
          <w:i/>
          <w:iCs/>
        </w:rPr>
        <w:t>et al.</w:t>
      </w:r>
      <w:r w:rsidR="00297B82">
        <w:t xml:space="preserve"> (</w:t>
      </w:r>
      <w:r w:rsidR="00CD4C4B">
        <w:t>2013</w:t>
      </w:r>
      <w:r w:rsidR="00297B82">
        <w:t xml:space="preserve">) </w:t>
      </w:r>
      <w:r w:rsidR="004807F4">
        <w:t xml:space="preserve">discuss how companies should consider </w:t>
      </w:r>
      <w:r w:rsidR="00BA1426">
        <w:t>the wellbeing of societ</w:t>
      </w:r>
      <w:r w:rsidR="00310D85">
        <w:t>y, not</w:t>
      </w:r>
      <w:r w:rsidR="0062708B">
        <w:t xml:space="preserve"> only </w:t>
      </w:r>
      <w:r w:rsidR="004807F4">
        <w:t>their customers and shareholders</w:t>
      </w:r>
      <w:r w:rsidR="00E176FE">
        <w:t>, when undertaking marketing actions.</w:t>
      </w:r>
      <w:r w:rsidR="008661E5">
        <w:t xml:space="preserve"> </w:t>
      </w:r>
      <w:r w:rsidR="006C0ABD">
        <w:t xml:space="preserve">The shift in marketing towards </w:t>
      </w:r>
      <w:r w:rsidR="0049019D">
        <w:t>promoting</w:t>
      </w:r>
      <w:r w:rsidR="006C0ABD">
        <w:t xml:space="preserve"> greener e</w:t>
      </w:r>
      <w:r w:rsidR="00010BF1">
        <w:t>lectricity</w:t>
      </w:r>
      <w:r w:rsidR="00312863">
        <w:t xml:space="preserve"> (</w:t>
      </w:r>
      <w:r w:rsidR="00BB6BDE">
        <w:t>Herbes and Ramme, 2014</w:t>
      </w:r>
      <w:r w:rsidR="00312863">
        <w:t>)</w:t>
      </w:r>
      <w:r w:rsidR="00010BF1">
        <w:t xml:space="preserve"> has been somewhat successful so far, however there are arguments that suggest that marketers are not generat</w:t>
      </w:r>
      <w:r w:rsidR="0049019D">
        <w:t>ing</w:t>
      </w:r>
      <w:r w:rsidR="00010BF1">
        <w:t xml:space="preserve"> enough awareness of green electricity (</w:t>
      </w:r>
      <w:r w:rsidR="00B16FF6">
        <w:t xml:space="preserve">Rundle-Thiele </w:t>
      </w:r>
      <w:r w:rsidR="00B16FF6">
        <w:rPr>
          <w:i/>
          <w:iCs/>
        </w:rPr>
        <w:t xml:space="preserve">et al., </w:t>
      </w:r>
      <w:r w:rsidR="00B16FF6">
        <w:t>2008</w:t>
      </w:r>
      <w:r w:rsidR="00B163AD">
        <w:t xml:space="preserve">). Another concern </w:t>
      </w:r>
      <w:r w:rsidR="00F5304F">
        <w:t xml:space="preserve">comes from a study by Rowlands </w:t>
      </w:r>
      <w:r w:rsidR="00F5304F">
        <w:rPr>
          <w:i/>
          <w:iCs/>
        </w:rPr>
        <w:t xml:space="preserve">et al. </w:t>
      </w:r>
      <w:r w:rsidR="00F5304F">
        <w:t>(2003)</w:t>
      </w:r>
      <w:r w:rsidR="00B81CDD">
        <w:t xml:space="preserve">, </w:t>
      </w:r>
      <w:r w:rsidR="00E00CA7">
        <w:t>where the</w:t>
      </w:r>
      <w:r w:rsidR="00B81CDD">
        <w:t xml:space="preserve"> results suggested that only a specific demographic is being targeted when it comes to marketing sustainable electricity</w:t>
      </w:r>
      <w:r w:rsidR="00E00CA7">
        <w:t xml:space="preserve">. </w:t>
      </w:r>
      <w:r w:rsidR="0062708B">
        <w:t>C</w:t>
      </w:r>
      <w:r w:rsidR="00E66CFD">
        <w:t xml:space="preserve">onsumers are unlikely to </w:t>
      </w:r>
      <w:r w:rsidR="00E32889">
        <w:t>learn about the</w:t>
      </w:r>
      <w:r w:rsidR="00CA1AB4">
        <w:t xml:space="preserve"> potential benefits of green energy unless they are taught (</w:t>
      </w:r>
      <w:r w:rsidR="00B16FF6">
        <w:t xml:space="preserve">Rundle-Thiele </w:t>
      </w:r>
      <w:r w:rsidR="00B16FF6">
        <w:rPr>
          <w:i/>
          <w:iCs/>
        </w:rPr>
        <w:t xml:space="preserve">et al., </w:t>
      </w:r>
      <w:r w:rsidR="00B16FF6">
        <w:t>2008</w:t>
      </w:r>
      <w:r w:rsidR="00CA1AB4">
        <w:t>)</w:t>
      </w:r>
      <w:r w:rsidR="00C26005">
        <w:t xml:space="preserve">, which illustrates the importance of </w:t>
      </w:r>
      <w:r w:rsidR="0039421F">
        <w:t xml:space="preserve">including </w:t>
      </w:r>
      <w:r w:rsidR="005A6CAA">
        <w:t>all consumer groups in the marketing approach</w:t>
      </w:r>
      <w:r w:rsidR="00CA1AB4">
        <w:t>. The targeting of specific demographics suggests that making profit is still the focus of the organisations in the sector.</w:t>
      </w:r>
      <w:r w:rsidR="00192B5D">
        <w:t xml:space="preserve"> </w:t>
      </w:r>
      <w:r w:rsidR="00FB2E9F">
        <w:t xml:space="preserve">Consumers should be given the opportunity to make informed decisions about </w:t>
      </w:r>
      <w:r w:rsidR="00231AE0">
        <w:t>where their electricity comes from</w:t>
      </w:r>
      <w:r w:rsidR="00F653A3">
        <w:t xml:space="preserve"> (Harries </w:t>
      </w:r>
      <w:r w:rsidR="00F653A3">
        <w:rPr>
          <w:i/>
          <w:iCs/>
        </w:rPr>
        <w:t xml:space="preserve">et al., </w:t>
      </w:r>
      <w:r w:rsidR="00F653A3">
        <w:t>2013) and</w:t>
      </w:r>
      <w:r w:rsidR="00A04858">
        <w:t xml:space="preserve"> therefore companies should use their marketing budget to increase consumer knowledge </w:t>
      </w:r>
      <w:r w:rsidR="00F37E78">
        <w:t>and better respond to their needs.</w:t>
      </w:r>
    </w:p>
    <w:p w14:paraId="3D58B8C4" w14:textId="56A7427D" w:rsidR="00094BB3" w:rsidRDefault="00094BB3" w:rsidP="004434FD">
      <w:pPr>
        <w:pStyle w:val="Heading3"/>
        <w:numPr>
          <w:ilvl w:val="2"/>
          <w:numId w:val="46"/>
        </w:numPr>
      </w:pPr>
      <w:bookmarkStart w:id="11" w:name="_Toc94190420"/>
      <w:r w:rsidRPr="002B161E">
        <w:t xml:space="preserve">Corporate </w:t>
      </w:r>
      <w:r w:rsidRPr="003F0FC7">
        <w:t>governance</w:t>
      </w:r>
      <w:bookmarkEnd w:id="11"/>
    </w:p>
    <w:p w14:paraId="69AEA041" w14:textId="77777777" w:rsidR="00C4511B" w:rsidRPr="00C4511B" w:rsidRDefault="00C4511B" w:rsidP="00C4511B"/>
    <w:p w14:paraId="7F3BBFBC" w14:textId="405BC3F4" w:rsidR="0008268D" w:rsidRDefault="00E176FE" w:rsidP="008D150A">
      <w:pPr>
        <w:spacing w:line="360" w:lineRule="auto"/>
      </w:pPr>
      <w:r>
        <w:t xml:space="preserve">This final section will discuss corporate governance in the electricity generation sector </w:t>
      </w:r>
      <w:r w:rsidR="00AF086D">
        <w:t xml:space="preserve">and the influence that it can have on </w:t>
      </w:r>
      <w:r w:rsidR="008A28CD">
        <w:t>all</w:t>
      </w:r>
      <w:r w:rsidR="00AF086D">
        <w:t xml:space="preserve"> the stakeholder</w:t>
      </w:r>
      <w:r w:rsidR="00AA0533">
        <w:t xml:space="preserve">s of an organisation. </w:t>
      </w:r>
      <w:r w:rsidR="00887B5D">
        <w:t xml:space="preserve">Carroll’s (2016) pyramid of corporate social responsibility (CSR) </w:t>
      </w:r>
      <w:r w:rsidR="00465E3C">
        <w:t xml:space="preserve">evaluates the </w:t>
      </w:r>
      <w:r w:rsidR="000326AD">
        <w:t>needs, wants and desires of society from an organisation</w:t>
      </w:r>
      <w:r w:rsidR="00465E3C">
        <w:t xml:space="preserve">. </w:t>
      </w:r>
      <w:r w:rsidR="00420243">
        <w:t xml:space="preserve">Studies have found that </w:t>
      </w:r>
      <w:r w:rsidR="00DF28D7">
        <w:t>implementing CSR into an organisation ‘</w:t>
      </w:r>
      <w:r w:rsidR="00692314">
        <w:t>enhances</w:t>
      </w:r>
      <w:r w:rsidR="00DF28D7">
        <w:t xml:space="preserve"> operating performance’ </w:t>
      </w:r>
      <w:r w:rsidR="00692314">
        <w:t>(</w:t>
      </w:r>
      <w:r w:rsidR="00784A75">
        <w:t>Harjoto and Jo, 2011</w:t>
      </w:r>
      <w:r w:rsidR="00692314">
        <w:t xml:space="preserve">:60) </w:t>
      </w:r>
      <w:r w:rsidR="00DF28D7">
        <w:t xml:space="preserve">and therefore </w:t>
      </w:r>
      <w:r w:rsidR="00692314">
        <w:t xml:space="preserve">provides economic value. However, there are also studies that find that </w:t>
      </w:r>
      <w:r w:rsidR="001C3176">
        <w:t>financial success will only come to organisations that ‘seriously implement</w:t>
      </w:r>
      <w:r w:rsidR="008676A9">
        <w:t xml:space="preserve">’ CSR strategies </w:t>
      </w:r>
      <w:r w:rsidR="00797CE4">
        <w:t>(</w:t>
      </w:r>
      <w:r w:rsidR="00A33147">
        <w:t>Wang and Sarkis, 2017</w:t>
      </w:r>
      <w:r w:rsidR="008676A9">
        <w:t>:</w:t>
      </w:r>
      <w:r w:rsidR="00797CE4">
        <w:t xml:space="preserve">1615) and partial implementation will not provide the economic reward that </w:t>
      </w:r>
      <w:r w:rsidR="0045013A">
        <w:t>the</w:t>
      </w:r>
      <w:r w:rsidR="005A48D7">
        <w:t>y are seeking</w:t>
      </w:r>
      <w:r w:rsidR="0045013A">
        <w:t xml:space="preserve">. In this sector, </w:t>
      </w:r>
      <w:r w:rsidR="00281710">
        <w:t xml:space="preserve">the results of </w:t>
      </w:r>
      <w:r w:rsidR="00A3346F">
        <w:t xml:space="preserve">a study by </w:t>
      </w:r>
      <w:r w:rsidR="00355030">
        <w:t xml:space="preserve">Sidhoum and Serra </w:t>
      </w:r>
      <w:r w:rsidR="00887090">
        <w:t xml:space="preserve">(2017) </w:t>
      </w:r>
      <w:r w:rsidR="00281710">
        <w:t>suggested</w:t>
      </w:r>
      <w:r w:rsidR="00355030">
        <w:t xml:space="preserve"> that social performance provides economic performance</w:t>
      </w:r>
      <w:r w:rsidR="00281710">
        <w:t>. Th</w:t>
      </w:r>
      <w:r w:rsidR="00D27988">
        <w:t xml:space="preserve">ey suggest that these results </w:t>
      </w:r>
      <w:r w:rsidR="00281710">
        <w:t xml:space="preserve">occurred due to the </w:t>
      </w:r>
      <w:r w:rsidR="005574C7">
        <w:t>impact that the sector has on sustainability</w:t>
      </w:r>
      <w:r w:rsidR="00BE3F4A">
        <w:t xml:space="preserve"> alongside the previously discussed increase in customer involvement when deciding on an </w:t>
      </w:r>
      <w:r w:rsidR="00BE3F4A">
        <w:lastRenderedPageBreak/>
        <w:t xml:space="preserve">electricity company. </w:t>
      </w:r>
      <w:r w:rsidR="00887090">
        <w:t>Th</w:t>
      </w:r>
      <w:r w:rsidR="00D27988">
        <w:t xml:space="preserve">is </w:t>
      </w:r>
      <w:r w:rsidR="000E2835">
        <w:t>research</w:t>
      </w:r>
      <w:r w:rsidR="00887090">
        <w:t xml:space="preserve"> show</w:t>
      </w:r>
      <w:r w:rsidR="00D27988">
        <w:t>s</w:t>
      </w:r>
      <w:r w:rsidR="00887090">
        <w:t xml:space="preserve"> that governance can have a major impact on the future of the sector, and there is potential for CSR to </w:t>
      </w:r>
      <w:r w:rsidR="007657E7">
        <w:t>provide the economic value needed.</w:t>
      </w:r>
    </w:p>
    <w:p w14:paraId="7E8E486B" w14:textId="759D3267" w:rsidR="000A6402" w:rsidRDefault="0008268D" w:rsidP="001B781F">
      <w:pPr>
        <w:pStyle w:val="Heading1"/>
        <w:numPr>
          <w:ilvl w:val="0"/>
          <w:numId w:val="46"/>
        </w:numPr>
      </w:pPr>
      <w:bookmarkStart w:id="12" w:name="_Toc94190421"/>
      <w:r w:rsidRPr="003F0FC7">
        <w:t xml:space="preserve">Evaluation of </w:t>
      </w:r>
      <w:r w:rsidR="00634CAE" w:rsidRPr="003F0FC7">
        <w:t>S</w:t>
      </w:r>
      <w:r w:rsidRPr="003F0FC7">
        <w:t xml:space="preserve">ustainability </w:t>
      </w:r>
      <w:r w:rsidR="00634CAE" w:rsidRPr="003F0FC7">
        <w:t>R</w:t>
      </w:r>
      <w:r w:rsidRPr="003F0FC7">
        <w:t xml:space="preserve">eporting </w:t>
      </w:r>
      <w:r w:rsidR="00634CAE" w:rsidRPr="003F0FC7">
        <w:t>W</w:t>
      </w:r>
      <w:r w:rsidRPr="003F0FC7">
        <w:t xml:space="preserve">ithin the </w:t>
      </w:r>
      <w:r w:rsidR="00634CAE" w:rsidRPr="003F0FC7">
        <w:t>S</w:t>
      </w:r>
      <w:r w:rsidRPr="003F0FC7">
        <w:t>ector</w:t>
      </w:r>
      <w:bookmarkEnd w:id="12"/>
      <w:r w:rsidRPr="003F0FC7">
        <w:t xml:space="preserve"> </w:t>
      </w:r>
    </w:p>
    <w:p w14:paraId="26FB669E" w14:textId="77777777" w:rsidR="00154F1C" w:rsidRPr="00154F1C" w:rsidRDefault="00154F1C" w:rsidP="00154F1C"/>
    <w:p w14:paraId="630D47B6" w14:textId="31BD6C54" w:rsidR="00BD0452" w:rsidRDefault="00883A85" w:rsidP="00883A85">
      <w:pPr>
        <w:spacing w:line="360" w:lineRule="auto"/>
      </w:pPr>
      <w:r>
        <w:t xml:space="preserve">This section of the report will discuss </w:t>
      </w:r>
      <w:r w:rsidR="00FB1224">
        <w:t>sustainability reporting within the electricity generation sector in the UK. The reporting of Drax (</w:t>
      </w:r>
      <w:r w:rsidR="00612A9C">
        <w:rPr>
          <w:i/>
        </w:rPr>
        <w:t xml:space="preserve">Drax Group Plc, </w:t>
      </w:r>
      <w:r w:rsidR="00612A9C">
        <w:t>2020</w:t>
      </w:r>
      <w:r w:rsidR="00F12727">
        <w:t xml:space="preserve"> and </w:t>
      </w:r>
      <w:r w:rsidR="00F12727">
        <w:rPr>
          <w:i/>
        </w:rPr>
        <w:t xml:space="preserve">Drax Group Plc, </w:t>
      </w:r>
      <w:r w:rsidR="00F12727">
        <w:t>2021</w:t>
      </w:r>
      <w:r w:rsidR="00C54F96">
        <w:t xml:space="preserve">), </w:t>
      </w:r>
      <w:r w:rsidR="00285DE7">
        <w:t>SSE (</w:t>
      </w:r>
      <w:r w:rsidR="00F12727">
        <w:rPr>
          <w:i/>
        </w:rPr>
        <w:t xml:space="preserve">SSE Plc, </w:t>
      </w:r>
      <w:r w:rsidR="00F12727">
        <w:t xml:space="preserve">2020) </w:t>
      </w:r>
      <w:r w:rsidR="00285DE7">
        <w:t>and EDF Energy (</w:t>
      </w:r>
      <w:r w:rsidR="00F12727" w:rsidRPr="00F12727">
        <w:rPr>
          <w:i/>
        </w:rPr>
        <w:t>E</w:t>
      </w:r>
      <w:r w:rsidR="00F12727">
        <w:rPr>
          <w:i/>
        </w:rPr>
        <w:t xml:space="preserve">DF Energy, </w:t>
      </w:r>
      <w:r w:rsidR="00F12727">
        <w:t>2021</w:t>
      </w:r>
      <w:r w:rsidR="00285DE7">
        <w:t xml:space="preserve">) will be analysed. </w:t>
      </w:r>
      <w:r w:rsidR="002934FF">
        <w:t xml:space="preserve">The specific focus of this section will be the reporting of each company </w:t>
      </w:r>
      <w:r w:rsidR="00285DE7">
        <w:t>on their environmental impacts</w:t>
      </w:r>
      <w:r w:rsidR="00F63D45">
        <w:t xml:space="preserve"> because</w:t>
      </w:r>
      <w:r w:rsidR="007C2518">
        <w:t xml:space="preserve"> </w:t>
      </w:r>
      <w:r w:rsidR="00F63D45">
        <w:t xml:space="preserve">it is the key issue of sustainability in the industry </w:t>
      </w:r>
      <w:r w:rsidR="00DA43C6">
        <w:t>(</w:t>
      </w:r>
      <w:r w:rsidR="00F12727">
        <w:t xml:space="preserve">Terrados </w:t>
      </w:r>
      <w:r w:rsidR="00F12727">
        <w:rPr>
          <w:i/>
        </w:rPr>
        <w:t xml:space="preserve">et al., </w:t>
      </w:r>
      <w:r w:rsidR="00F12727">
        <w:t xml:space="preserve">2007 and </w:t>
      </w:r>
      <w:r w:rsidR="00F63D45">
        <w:t xml:space="preserve">Sithole </w:t>
      </w:r>
      <w:r w:rsidR="00F63D45">
        <w:rPr>
          <w:i/>
        </w:rPr>
        <w:t xml:space="preserve">et al., </w:t>
      </w:r>
      <w:r w:rsidR="00F63D45">
        <w:t>2016</w:t>
      </w:r>
      <w:r w:rsidR="00DA43C6">
        <w:t xml:space="preserve">). </w:t>
      </w:r>
      <w:r w:rsidR="005218B9">
        <w:t xml:space="preserve">A study by Alrazi </w:t>
      </w:r>
      <w:r w:rsidR="005218B9">
        <w:rPr>
          <w:i/>
        </w:rPr>
        <w:t xml:space="preserve">et al. </w:t>
      </w:r>
      <w:r w:rsidR="005218B9">
        <w:t>(</w:t>
      </w:r>
      <w:r w:rsidR="00612A9C">
        <w:t>2016</w:t>
      </w:r>
      <w:r w:rsidR="005218B9">
        <w:t xml:space="preserve">:692) discovered that there is a ‘positive and significant relationship between environmental performance and environmental disclosure’ in the industry. This suggests that </w:t>
      </w:r>
      <w:r w:rsidR="002934FF">
        <w:t>the companies that report their environmental impacts are less likely to be causing as much environmental damage</w:t>
      </w:r>
      <w:r w:rsidR="005C57F6">
        <w:t xml:space="preserve">, which emphasises the importance of sustainability reporting. </w:t>
      </w:r>
    </w:p>
    <w:p w14:paraId="22C05A31" w14:textId="1B793D83" w:rsidR="00513D3B" w:rsidRPr="005218B9" w:rsidRDefault="00E654B0" w:rsidP="00883A85">
      <w:pPr>
        <w:spacing w:line="360" w:lineRule="auto"/>
      </w:pPr>
      <w:r>
        <w:t xml:space="preserve">Shared value for stakeholders is a concept that appears throughout the sustainability reporting in the sector. Porter and Kramer (2011) describe shared value as an opportunity </w:t>
      </w:r>
      <w:r w:rsidR="00850556">
        <w:t xml:space="preserve">for businesses to create more value than profit alone. </w:t>
      </w:r>
      <w:r w:rsidR="00157421">
        <w:t xml:space="preserve">In this sector it can </w:t>
      </w:r>
      <w:r w:rsidR="005F02F9">
        <w:t xml:space="preserve">encourage better communication between stakeholders and therefore create value for a wider group of them. </w:t>
      </w:r>
      <w:r w:rsidR="00850556">
        <w:t>The second part of this section of the report will discuss the potential for shared value in the sector beyond the discussed frameworks.</w:t>
      </w:r>
    </w:p>
    <w:p w14:paraId="0C64B186" w14:textId="78AAB838" w:rsidR="001A31AB" w:rsidRDefault="005448D2" w:rsidP="00A02330">
      <w:pPr>
        <w:pStyle w:val="Heading2"/>
        <w:numPr>
          <w:ilvl w:val="1"/>
          <w:numId w:val="46"/>
        </w:numPr>
      </w:pPr>
      <w:bookmarkStart w:id="13" w:name="_Toc94190422"/>
      <w:r w:rsidRPr="003F0FC7">
        <w:t>Critical Analysis of Reported Content</w:t>
      </w:r>
      <w:bookmarkEnd w:id="13"/>
      <w:r w:rsidR="007D259E" w:rsidRPr="003F0FC7">
        <w:t xml:space="preserve"> </w:t>
      </w:r>
    </w:p>
    <w:p w14:paraId="486A386D" w14:textId="77777777" w:rsidR="00C678D2" w:rsidRPr="00C678D2" w:rsidRDefault="00C678D2" w:rsidP="00C678D2"/>
    <w:p w14:paraId="618EDD27" w14:textId="2E037FA5" w:rsidR="000A6402" w:rsidRDefault="00063418" w:rsidP="004434FD">
      <w:pPr>
        <w:pStyle w:val="Heading3"/>
        <w:numPr>
          <w:ilvl w:val="2"/>
          <w:numId w:val="46"/>
        </w:numPr>
      </w:pPr>
      <w:bookmarkStart w:id="14" w:name="_Toc94190423"/>
      <w:r>
        <w:t>S</w:t>
      </w:r>
      <w:r w:rsidR="004434FD">
        <w:t xml:space="preserve">ustainable </w:t>
      </w:r>
      <w:r>
        <w:t>D</w:t>
      </w:r>
      <w:r w:rsidR="004434FD">
        <w:t xml:space="preserve">evelopment </w:t>
      </w:r>
      <w:r>
        <w:t>G</w:t>
      </w:r>
      <w:r w:rsidR="004434FD">
        <w:t>oal</w:t>
      </w:r>
      <w:r>
        <w:t>s</w:t>
      </w:r>
      <w:bookmarkEnd w:id="14"/>
    </w:p>
    <w:p w14:paraId="5744B2CF" w14:textId="77777777" w:rsidR="00C678D2" w:rsidRPr="00C678D2" w:rsidRDefault="00C678D2" w:rsidP="00C678D2"/>
    <w:p w14:paraId="085DCBB4" w14:textId="3DA5B4F1" w:rsidR="00C678D2" w:rsidRDefault="002A5463" w:rsidP="00C678D2">
      <w:pPr>
        <w:spacing w:line="360" w:lineRule="auto"/>
      </w:pPr>
      <w:r>
        <w:t>The United Nations’</w:t>
      </w:r>
      <w:r w:rsidR="006128F3">
        <w:t xml:space="preserve"> (UN)</w:t>
      </w:r>
      <w:r>
        <w:t xml:space="preserve"> 2030 Sustainable Development Goals (SDGs) (</w:t>
      </w:r>
      <w:r>
        <w:rPr>
          <w:i/>
        </w:rPr>
        <w:t xml:space="preserve">United Nations, </w:t>
      </w:r>
      <w:r>
        <w:t>2021)</w:t>
      </w:r>
      <w:r w:rsidR="00715AB4">
        <w:t xml:space="preserve"> </w:t>
      </w:r>
      <w:r>
        <w:t xml:space="preserve">are a </w:t>
      </w:r>
      <w:r w:rsidR="004F2916">
        <w:t>commonly used</w:t>
      </w:r>
      <w:r>
        <w:t xml:space="preserve"> reporting framework within the UK electricity generation sector.</w:t>
      </w:r>
      <w:r w:rsidR="00715AB4">
        <w:t xml:space="preserve"> EDF</w:t>
      </w:r>
      <w:r w:rsidR="0013566B">
        <w:t xml:space="preserve"> Energy</w:t>
      </w:r>
      <w:r w:rsidR="00715AB4">
        <w:t xml:space="preserve"> have created </w:t>
      </w:r>
      <w:r w:rsidR="007C2518">
        <w:t>a</w:t>
      </w:r>
      <w:r w:rsidR="00715AB4">
        <w:t xml:space="preserve"> ‘Better Plan’ (</w:t>
      </w:r>
      <w:r w:rsidR="00715AB4">
        <w:rPr>
          <w:i/>
        </w:rPr>
        <w:t xml:space="preserve">EDF Energy, </w:t>
      </w:r>
      <w:r w:rsidR="00DB7147">
        <w:t>2019: [</w:t>
      </w:r>
      <w:r w:rsidR="00715AB4">
        <w:t xml:space="preserve">Online]) which is aligned with the SDGs. </w:t>
      </w:r>
      <w:r w:rsidR="00F51C7D">
        <w:t>It can be implied from this that</w:t>
      </w:r>
      <w:r w:rsidR="0013566B">
        <w:t xml:space="preserve"> the organisation is committed to being more sustainable, however the</w:t>
      </w:r>
      <w:r w:rsidR="00C54948">
        <w:t>y</w:t>
      </w:r>
      <w:r w:rsidR="0013566B">
        <w:t xml:space="preserve"> do not present much information on how they will improve each goal in the future.</w:t>
      </w:r>
      <w:r w:rsidR="00F51C7D">
        <w:t xml:space="preserve"> </w:t>
      </w:r>
      <w:r w:rsidR="00DB7147">
        <w:t xml:space="preserve">Contrary to this, </w:t>
      </w:r>
      <w:r w:rsidR="00DB7147">
        <w:lastRenderedPageBreak/>
        <w:t>Drax have utilised the SDGs to emphasise the shared value creation for stakeholders</w:t>
      </w:r>
      <w:r w:rsidR="007C2518">
        <w:t xml:space="preserve">, which </w:t>
      </w:r>
      <w:r w:rsidR="00DB7147">
        <w:t xml:space="preserve">suggests a stakeholder </w:t>
      </w:r>
      <w:r w:rsidR="00106D94">
        <w:t>focus</w:t>
      </w:r>
      <w:r w:rsidR="007C2518">
        <w:t>. H</w:t>
      </w:r>
      <w:r w:rsidR="00106D94">
        <w:t>owever,</w:t>
      </w:r>
      <w:r w:rsidR="00DB7147">
        <w:t xml:space="preserve"> the only evaluations occur </w:t>
      </w:r>
      <w:r w:rsidR="00106D94">
        <w:t>on SDGs where their impacts are becoming more positive</w:t>
      </w:r>
      <w:r w:rsidR="007C2518">
        <w:t xml:space="preserve"> while ignoring their negative impacts,</w:t>
      </w:r>
      <w:r w:rsidR="00106D94">
        <w:t xml:space="preserve"> </w:t>
      </w:r>
      <w:r w:rsidR="00EC7CA0">
        <w:t xml:space="preserve">which </w:t>
      </w:r>
      <w:r w:rsidR="0013566B">
        <w:t>could be described</w:t>
      </w:r>
      <w:r w:rsidR="00EC7CA0">
        <w:t xml:space="preserve"> as SDG</w:t>
      </w:r>
      <w:r w:rsidR="00F51C7D">
        <w:t xml:space="preserve">-washing </w:t>
      </w:r>
      <w:r w:rsidR="00106D94">
        <w:t>(</w:t>
      </w:r>
      <w:r w:rsidR="00F51C7D">
        <w:t>Kornieieva, 2020</w:t>
      </w:r>
      <w:r w:rsidR="00106D94">
        <w:t>)</w:t>
      </w:r>
      <w:r w:rsidR="0023648E">
        <w:t xml:space="preserve"> </w:t>
      </w:r>
      <w:r w:rsidR="007C2518">
        <w:t>that</w:t>
      </w:r>
      <w:r w:rsidR="0023648E">
        <w:t xml:space="preserve"> can </w:t>
      </w:r>
      <w:r w:rsidR="00855478">
        <w:t>reduce stakeholder trust.</w:t>
      </w:r>
      <w:r w:rsidR="00F51C7D">
        <w:t xml:space="preserve"> Finally, SSE only mention four of the SDGs in their sustainability report, </w:t>
      </w:r>
      <w:r w:rsidR="00C678D2">
        <w:t>although</w:t>
      </w:r>
      <w:r w:rsidR="00F51C7D">
        <w:t xml:space="preserve"> the</w:t>
      </w:r>
      <w:r w:rsidR="0013566B">
        <w:t>y</w:t>
      </w:r>
      <w:r w:rsidR="00F51C7D">
        <w:t xml:space="preserve"> go into detail about them.</w:t>
      </w:r>
      <w:r w:rsidR="0013566B">
        <w:t xml:space="preserve"> </w:t>
      </w:r>
      <w:r w:rsidR="00F037C9">
        <w:t>They clearly define the extent to which these goals have been achieved, with statistics to provide evidence (</w:t>
      </w:r>
      <w:r w:rsidR="005A439D">
        <w:t>Achinstein, 2001</w:t>
      </w:r>
      <w:r w:rsidR="00F037C9">
        <w:t xml:space="preserve">), </w:t>
      </w:r>
      <w:r w:rsidR="005A439D">
        <w:t>and</w:t>
      </w:r>
      <w:r w:rsidR="00F037C9">
        <w:t xml:space="preserve"> </w:t>
      </w:r>
      <w:r w:rsidR="00855478">
        <w:t>describe strategies as</w:t>
      </w:r>
      <w:r w:rsidR="00F037C9">
        <w:t xml:space="preserve"> to how they will fulfil these goals in the future.</w:t>
      </w:r>
      <w:r w:rsidR="00855478">
        <w:t xml:space="preserve"> </w:t>
      </w:r>
      <w:r w:rsidR="00D451CA">
        <w:t>The company recognises the impact that the SDGs can have.</w:t>
      </w:r>
    </w:p>
    <w:p w14:paraId="62DE0A56" w14:textId="22AB74ED" w:rsidR="00063418" w:rsidRDefault="00063418" w:rsidP="004434FD">
      <w:pPr>
        <w:pStyle w:val="Heading3"/>
        <w:numPr>
          <w:ilvl w:val="2"/>
          <w:numId w:val="46"/>
        </w:numPr>
      </w:pPr>
      <w:bookmarkStart w:id="15" w:name="_Toc94190424"/>
      <w:r>
        <w:t>UN Global Compact</w:t>
      </w:r>
      <w:bookmarkEnd w:id="15"/>
    </w:p>
    <w:p w14:paraId="26B16E45" w14:textId="77777777" w:rsidR="00C678D2" w:rsidRPr="00C678D2" w:rsidRDefault="00C678D2" w:rsidP="00C678D2"/>
    <w:p w14:paraId="41EBD49A" w14:textId="7FE017CE" w:rsidR="00F76566" w:rsidRPr="00537BE0" w:rsidRDefault="003D1038" w:rsidP="00045AFE">
      <w:pPr>
        <w:spacing w:line="360" w:lineRule="auto"/>
      </w:pPr>
      <w:r>
        <w:t xml:space="preserve">Both Drax and SSE have been participants of the United Nations Global Compact </w:t>
      </w:r>
      <w:r w:rsidR="00F7714B">
        <w:t>since 2018</w:t>
      </w:r>
      <w:r w:rsidR="00855478">
        <w:t xml:space="preserve"> (</w:t>
      </w:r>
      <w:r w:rsidR="00855478">
        <w:rPr>
          <w:i/>
          <w:iCs/>
        </w:rPr>
        <w:t xml:space="preserve">United Nations Global Compact, </w:t>
      </w:r>
      <w:r w:rsidR="00926165">
        <w:t>2021)</w:t>
      </w:r>
      <w:r w:rsidR="005A4465">
        <w:t xml:space="preserve">. </w:t>
      </w:r>
      <w:r w:rsidR="005F3D6C">
        <w:t xml:space="preserve">Drax are particularly supportive of the global compact, dedicating </w:t>
      </w:r>
      <w:r w:rsidR="00926165">
        <w:t>much of</w:t>
      </w:r>
      <w:r w:rsidR="005F3D6C">
        <w:t xml:space="preserve"> their non-financial </w:t>
      </w:r>
      <w:r w:rsidR="009C0ACF">
        <w:t>statement</w:t>
      </w:r>
      <w:r w:rsidR="005F3D6C">
        <w:t xml:space="preserve"> to addressing their communication on progress. </w:t>
      </w:r>
      <w:r w:rsidR="009C0ACF">
        <w:t>This shows that Drax are utilising the global compact</w:t>
      </w:r>
      <w:r w:rsidR="0059282C">
        <w:t>, the ‘largest corporate citizenship initiative’ in terms of both size and inclusivity (</w:t>
      </w:r>
      <w:r w:rsidR="000027E5">
        <w:t>Rasche, 2009</w:t>
      </w:r>
      <w:r w:rsidR="0059282C">
        <w:t>:532),</w:t>
      </w:r>
      <w:r w:rsidR="009C0ACF">
        <w:t xml:space="preserve"> to be an industry leader in sustainability reporting</w:t>
      </w:r>
      <w:r w:rsidR="0059282C">
        <w:t>. SSE</w:t>
      </w:r>
      <w:r w:rsidR="00D451CA">
        <w:t xml:space="preserve"> </w:t>
      </w:r>
      <w:r w:rsidR="0059282C">
        <w:t>are less active in their use of the global compact, choosing instead to send a communication of progress directly to the United Nations (</w:t>
      </w:r>
      <w:r w:rsidR="00DF71C4">
        <w:t>Phillips-Davies, 2020)</w:t>
      </w:r>
      <w:r w:rsidR="0059282C">
        <w:t>.</w:t>
      </w:r>
      <w:r w:rsidR="00DF71C4">
        <w:t xml:space="preserve"> This apparent lack of transparency could </w:t>
      </w:r>
      <w:r w:rsidR="00F1189C">
        <w:t>result in stakeholder distrust, with accountability and transparency being important to stakeholders (</w:t>
      </w:r>
      <w:r w:rsidR="000027E5">
        <w:t>Amran and Keat Ooi, 2014</w:t>
      </w:r>
      <w:r w:rsidR="00F1189C">
        <w:t xml:space="preserve">). </w:t>
      </w:r>
      <w:r w:rsidR="00926165">
        <w:t xml:space="preserve">Contrastingly, EDF Energy became a </w:t>
      </w:r>
      <w:r w:rsidR="004E33DD">
        <w:t>Global Compact member</w:t>
      </w:r>
      <w:r w:rsidR="00926165">
        <w:t xml:space="preserve"> in 2014 but were delisted in 2020 for being ‘non-responsive’ (</w:t>
      </w:r>
      <w:r w:rsidR="00926165">
        <w:rPr>
          <w:i/>
        </w:rPr>
        <w:t xml:space="preserve">United Nations Global Compact, </w:t>
      </w:r>
      <w:r w:rsidR="00926165">
        <w:t xml:space="preserve">2021: [online]). </w:t>
      </w:r>
      <w:r w:rsidR="00D451CA">
        <w:t>This suggests that th</w:t>
      </w:r>
      <w:r w:rsidR="000829B9">
        <w:t>ey do not place enough importance on sustainability reporting</w:t>
      </w:r>
      <w:r w:rsidR="00D451CA">
        <w:t xml:space="preserve">. </w:t>
      </w:r>
      <w:r w:rsidR="00F1189C">
        <w:t xml:space="preserve">As mentioned earlier, stakeholders are less likely to trust organisations who are not honest </w:t>
      </w:r>
      <w:r w:rsidR="00C314D3">
        <w:t xml:space="preserve">about the level of </w:t>
      </w:r>
      <w:r w:rsidR="0068617B">
        <w:t>success in reaching their sustainability goals</w:t>
      </w:r>
      <w:r w:rsidR="00F1189C">
        <w:t xml:space="preserve"> </w:t>
      </w:r>
      <w:r w:rsidR="00537BE0">
        <w:t xml:space="preserve">(Alrazi </w:t>
      </w:r>
      <w:r w:rsidR="00537BE0">
        <w:rPr>
          <w:i/>
        </w:rPr>
        <w:t xml:space="preserve">et al., </w:t>
      </w:r>
      <w:r w:rsidR="00537BE0">
        <w:t>2016).</w:t>
      </w:r>
    </w:p>
    <w:p w14:paraId="46E031E8" w14:textId="52FE2E03" w:rsidR="00063418" w:rsidRDefault="00154F1C" w:rsidP="004434FD">
      <w:pPr>
        <w:pStyle w:val="Heading3"/>
        <w:numPr>
          <w:ilvl w:val="2"/>
          <w:numId w:val="46"/>
        </w:numPr>
      </w:pPr>
      <w:bookmarkStart w:id="16" w:name="_Toc94190425"/>
      <w:r>
        <w:t>Reporting Approaches</w:t>
      </w:r>
      <w:bookmarkEnd w:id="16"/>
    </w:p>
    <w:p w14:paraId="7C38082C" w14:textId="77777777" w:rsidR="00C678D2" w:rsidRPr="00C678D2" w:rsidRDefault="00C678D2" w:rsidP="00C678D2"/>
    <w:p w14:paraId="3EA0330D" w14:textId="1D84892E" w:rsidR="00063418" w:rsidRDefault="005F23BF" w:rsidP="005F23BF">
      <w:pPr>
        <w:spacing w:line="360" w:lineRule="auto"/>
      </w:pPr>
      <w:r>
        <w:t xml:space="preserve">While the </w:t>
      </w:r>
      <w:r w:rsidR="00F10308">
        <w:t xml:space="preserve">UK </w:t>
      </w:r>
      <w:r>
        <w:t>electricity generation</w:t>
      </w:r>
      <w:r w:rsidR="00F10308">
        <w:t xml:space="preserve"> sector</w:t>
      </w:r>
      <w:r>
        <w:t xml:space="preserve"> was reformed in </w:t>
      </w:r>
      <w:r w:rsidR="00F10308">
        <w:t xml:space="preserve">2013, which has led to many practices occurring similarly throughout </w:t>
      </w:r>
      <w:r w:rsidR="003E2BCF">
        <w:t>most</w:t>
      </w:r>
      <w:r w:rsidR="00F10308">
        <w:t xml:space="preserve"> organisations (</w:t>
      </w:r>
      <w:r w:rsidR="00B20848">
        <w:t>Grubb and Newbury</w:t>
      </w:r>
      <w:r w:rsidR="00CD73FC">
        <w:t>, 2018</w:t>
      </w:r>
      <w:r w:rsidR="001C6669">
        <w:t>), the way that sustainability reporting occurs has a lot of variety.</w:t>
      </w:r>
      <w:r w:rsidR="0053330B">
        <w:t xml:space="preserve"> All three of </w:t>
      </w:r>
      <w:r w:rsidR="000829B9">
        <w:t>these organisations</w:t>
      </w:r>
      <w:r w:rsidR="00F322C5">
        <w:t xml:space="preserve"> </w:t>
      </w:r>
      <w:r w:rsidR="00F5429E">
        <w:t>mention shared value,</w:t>
      </w:r>
      <w:r w:rsidR="0053330B">
        <w:t xml:space="preserve"> however</w:t>
      </w:r>
      <w:r w:rsidR="00F5429E">
        <w:t xml:space="preserve"> the reporting of this </w:t>
      </w:r>
      <w:r w:rsidR="00F5429E">
        <w:lastRenderedPageBreak/>
        <w:t>value is completed at varying levels of success. In a sector which can have the economic impact that the electricity sector has (</w:t>
      </w:r>
      <w:r w:rsidR="00081190">
        <w:t>Kowal and Kustra, 2016</w:t>
      </w:r>
      <w:r w:rsidR="00F5429E">
        <w:t xml:space="preserve">), all stakeholders should feel included and valued. </w:t>
      </w:r>
      <w:r w:rsidR="00362A84">
        <w:t>Of the organisations analysed in this report, SSE are the most effective in discussing their key performance indicators (KPIs) and material issues. Adams and Frost (</w:t>
      </w:r>
      <w:r w:rsidR="00081190">
        <w:t>20</w:t>
      </w:r>
      <w:r w:rsidR="00963B63">
        <w:t>08</w:t>
      </w:r>
      <w:r w:rsidR="00362A84">
        <w:t xml:space="preserve">) believe that KPIs add validity and are the best way to illustrate an organisations </w:t>
      </w:r>
      <w:r w:rsidR="00B10992">
        <w:t>impact. SSE use the Global Reporting Initiative framework (</w:t>
      </w:r>
      <w:r w:rsidR="00081190">
        <w:t xml:space="preserve">Levy </w:t>
      </w:r>
      <w:r w:rsidR="00081190">
        <w:rPr>
          <w:i/>
          <w:iCs/>
        </w:rPr>
        <w:t xml:space="preserve">et al., </w:t>
      </w:r>
      <w:r w:rsidR="00081190">
        <w:t>20</w:t>
      </w:r>
      <w:r w:rsidR="004B4F1D">
        <w:t>10</w:t>
      </w:r>
      <w:r w:rsidR="00B10992">
        <w:t xml:space="preserve">) to analyse their KPIs. </w:t>
      </w:r>
    </w:p>
    <w:p w14:paraId="24C7DAFA" w14:textId="15398436" w:rsidR="009C22FE" w:rsidRPr="00063418" w:rsidRDefault="00B10992" w:rsidP="005F23BF">
      <w:pPr>
        <w:spacing w:line="360" w:lineRule="auto"/>
      </w:pPr>
      <w:r>
        <w:t xml:space="preserve">Drax report their environmental impact alongside their financial information. This makes it more difficult to access for </w:t>
      </w:r>
      <w:r w:rsidR="00D97CF8">
        <w:t>many of their stakeholders, therefore making the organisation appear less transparent (Amran and Keat Ooi, 2014)</w:t>
      </w:r>
      <w:r w:rsidR="00836177">
        <w:t xml:space="preserve">. EDF </w:t>
      </w:r>
      <w:r w:rsidR="009C22FE">
        <w:t xml:space="preserve">Energy </w:t>
      </w:r>
      <w:r w:rsidR="00017DA3">
        <w:t>report their key performance indicators well</w:t>
      </w:r>
      <w:r w:rsidR="00953DEF">
        <w:t xml:space="preserve"> by providing their environmental impact over the previous three years. As previously mentioned, these are not analysed well enough in terms of making changes in the future. </w:t>
      </w:r>
    </w:p>
    <w:p w14:paraId="1310D1F0" w14:textId="0C9E6D15" w:rsidR="003928A6" w:rsidRDefault="00634CAE" w:rsidP="009552C3">
      <w:pPr>
        <w:pStyle w:val="Heading2"/>
        <w:numPr>
          <w:ilvl w:val="1"/>
          <w:numId w:val="46"/>
        </w:numPr>
      </w:pPr>
      <w:bookmarkStart w:id="17" w:name="_Toc94190426"/>
      <w:r w:rsidRPr="003F0FC7">
        <w:t>L</w:t>
      </w:r>
      <w:r w:rsidR="007D259E" w:rsidRPr="003F0FC7">
        <w:t xml:space="preserve">imitations of </w:t>
      </w:r>
      <w:r w:rsidRPr="003F0FC7">
        <w:t>R</w:t>
      </w:r>
      <w:r w:rsidR="007D259E" w:rsidRPr="003F0FC7">
        <w:t xml:space="preserve">eporting </w:t>
      </w:r>
      <w:r w:rsidRPr="003F0FC7">
        <w:t>F</w:t>
      </w:r>
      <w:r w:rsidR="007D259E" w:rsidRPr="003F0FC7">
        <w:t xml:space="preserve">rameworks and </w:t>
      </w:r>
      <w:r w:rsidRPr="003F0FC7">
        <w:t>R</w:t>
      </w:r>
      <w:r w:rsidR="007D259E" w:rsidRPr="003F0FC7">
        <w:t xml:space="preserve">ecommendations for the </w:t>
      </w:r>
      <w:r w:rsidRPr="003F0FC7">
        <w:t>S</w:t>
      </w:r>
      <w:r w:rsidR="007D259E" w:rsidRPr="003F0FC7">
        <w:t>ector</w:t>
      </w:r>
      <w:bookmarkEnd w:id="17"/>
    </w:p>
    <w:p w14:paraId="34CB8417" w14:textId="77777777" w:rsidR="00C678D2" w:rsidRPr="00C678D2" w:rsidRDefault="00C678D2" w:rsidP="00C678D2"/>
    <w:p w14:paraId="24CADABE" w14:textId="7E972870" w:rsidR="00BA4D4C" w:rsidRDefault="00BA4D4C" w:rsidP="004434FD">
      <w:pPr>
        <w:pStyle w:val="Heading3"/>
        <w:numPr>
          <w:ilvl w:val="2"/>
          <w:numId w:val="46"/>
        </w:numPr>
      </w:pPr>
      <w:bookmarkStart w:id="18" w:name="_Toc94190427"/>
      <w:r>
        <w:t>Limitation</w:t>
      </w:r>
      <w:r w:rsidR="00F73E33">
        <w:t>s</w:t>
      </w:r>
      <w:bookmarkEnd w:id="18"/>
    </w:p>
    <w:p w14:paraId="07F758D6" w14:textId="77777777" w:rsidR="00C678D2" w:rsidRPr="00C678D2" w:rsidRDefault="00C678D2" w:rsidP="00C678D2"/>
    <w:p w14:paraId="32FA29C3" w14:textId="1769C6F0" w:rsidR="00EC378C" w:rsidRDefault="00577D9A" w:rsidP="00B108AB">
      <w:pPr>
        <w:spacing w:line="360" w:lineRule="auto"/>
      </w:pPr>
      <w:r>
        <w:t xml:space="preserve">This section will discuss the limitations of the frameworks utilised by </w:t>
      </w:r>
      <w:r w:rsidR="00A32456">
        <w:t xml:space="preserve">the three organisations discussed previously. </w:t>
      </w:r>
      <w:r w:rsidR="009E1864">
        <w:t>The UN SDGs</w:t>
      </w:r>
      <w:r w:rsidR="00885163">
        <w:t xml:space="preserve"> have received criticism for a variety of reasons since they were conceived in 2015</w:t>
      </w:r>
      <w:r w:rsidR="00E4694B">
        <w:t xml:space="preserve">. </w:t>
      </w:r>
      <w:r w:rsidR="00D6449B">
        <w:t>T</w:t>
      </w:r>
      <w:r w:rsidR="00D4183F">
        <w:t>heir lack of theoretical foundation causes doubt to their validity and therefore the desire to adopt them (</w:t>
      </w:r>
      <w:r w:rsidR="00E63B64">
        <w:t>Spaiser, 2017</w:t>
      </w:r>
      <w:r w:rsidR="00D4183F">
        <w:t>).</w:t>
      </w:r>
      <w:r w:rsidR="00D6449B">
        <w:t xml:space="preserve"> This has an impact on the electricity generation sector because </w:t>
      </w:r>
      <w:r w:rsidR="00465793">
        <w:t xml:space="preserve">the increase in consumer knowledge means that </w:t>
      </w:r>
      <w:r w:rsidR="00677D06">
        <w:t>the SDGs could provide less value to them.</w:t>
      </w:r>
      <w:r w:rsidR="00D4183F">
        <w:t xml:space="preserve"> </w:t>
      </w:r>
      <w:r w:rsidR="00677D06">
        <w:t>In addition to this, t</w:t>
      </w:r>
      <w:r w:rsidR="002D33DA">
        <w:t xml:space="preserve">he lack of incentive for organisations to join them </w:t>
      </w:r>
      <w:r w:rsidR="003427A8">
        <w:t>has resulted in a less successful response than what was hoped for (</w:t>
      </w:r>
      <w:r w:rsidR="00E3363F">
        <w:t xml:space="preserve">Fleming </w:t>
      </w:r>
      <w:r w:rsidR="00E3363F">
        <w:rPr>
          <w:i/>
          <w:iCs/>
        </w:rPr>
        <w:t xml:space="preserve">et al., </w:t>
      </w:r>
      <w:r w:rsidR="00E3363F">
        <w:t>2017</w:t>
      </w:r>
      <w:r w:rsidR="003427A8">
        <w:t xml:space="preserve">). </w:t>
      </w:r>
      <w:r w:rsidR="00274B65">
        <w:t xml:space="preserve">The sector is influenced by this because </w:t>
      </w:r>
      <w:r w:rsidR="00AE2C73">
        <w:t>the</w:t>
      </w:r>
      <w:r w:rsidR="005D00CC">
        <w:t xml:space="preserve"> SDGs will not be effective if only adopted by a few companies</w:t>
      </w:r>
      <w:r w:rsidR="000829B9">
        <w:t>.</w:t>
      </w:r>
    </w:p>
    <w:p w14:paraId="2A098855" w14:textId="31E00898" w:rsidR="00DE6A25" w:rsidRDefault="00DE6A25" w:rsidP="00B108AB">
      <w:pPr>
        <w:spacing w:line="360" w:lineRule="auto"/>
      </w:pPr>
      <w:r>
        <w:t>The UN Global Compact</w:t>
      </w:r>
      <w:r w:rsidR="007E417D">
        <w:t xml:space="preserve"> </w:t>
      </w:r>
      <w:r w:rsidR="000829B9">
        <w:t>has similar limitations</w:t>
      </w:r>
      <w:r w:rsidR="007E417D">
        <w:t xml:space="preserve">. They are accused of not </w:t>
      </w:r>
      <w:r w:rsidR="002D6535">
        <w:t>resulting</w:t>
      </w:r>
      <w:r w:rsidR="007E417D">
        <w:t xml:space="preserve"> enough action and instead only </w:t>
      </w:r>
      <w:r w:rsidR="002D6535">
        <w:t>causing</w:t>
      </w:r>
      <w:r w:rsidR="007E417D">
        <w:t xml:space="preserve"> conversations to happen within an organisation (</w:t>
      </w:r>
      <w:r w:rsidR="00D6072D">
        <w:t xml:space="preserve">McIntosh </w:t>
      </w:r>
      <w:r w:rsidR="00D6072D">
        <w:rPr>
          <w:i/>
          <w:iCs/>
        </w:rPr>
        <w:t xml:space="preserve">et al., </w:t>
      </w:r>
      <w:r w:rsidR="004C276B">
        <w:t>2017</w:t>
      </w:r>
      <w:r w:rsidR="007E417D">
        <w:t xml:space="preserve">). </w:t>
      </w:r>
      <w:r w:rsidR="00FD0E69">
        <w:t xml:space="preserve">This is problematic because </w:t>
      </w:r>
      <w:r w:rsidR="00E744B0">
        <w:t xml:space="preserve">companies may be able to use the GRI to </w:t>
      </w:r>
      <w:r w:rsidR="00317A2F">
        <w:t>appear to report sustainably, while they are hiding information that they don’t want their stakeholders to see</w:t>
      </w:r>
      <w:r w:rsidR="00060066">
        <w:t xml:space="preserve">; as mentioned, </w:t>
      </w:r>
      <w:r w:rsidR="009B4D13">
        <w:t>companies in this</w:t>
      </w:r>
      <w:r w:rsidR="00060066">
        <w:t xml:space="preserve"> </w:t>
      </w:r>
      <w:r w:rsidR="00060066">
        <w:lastRenderedPageBreak/>
        <w:t xml:space="preserve">sector </w:t>
      </w:r>
      <w:r w:rsidR="009B4D13">
        <w:t>should aim to prioritise stakeholder honesty</w:t>
      </w:r>
      <w:r w:rsidR="00317A2F">
        <w:t>.</w:t>
      </w:r>
      <w:r w:rsidR="00060066">
        <w:t xml:space="preserve"> </w:t>
      </w:r>
      <w:r w:rsidR="00DE61B5">
        <w:t xml:space="preserve">One of the </w:t>
      </w:r>
      <w:r w:rsidR="00ED396E">
        <w:t>key limitations is the lack of comparability between communications of progress (</w:t>
      </w:r>
      <w:r w:rsidR="00517B16">
        <w:t xml:space="preserve">Coulmont </w:t>
      </w:r>
      <w:r w:rsidR="00517B16">
        <w:rPr>
          <w:i/>
          <w:iCs/>
        </w:rPr>
        <w:t xml:space="preserve">et al., </w:t>
      </w:r>
      <w:r w:rsidR="00517B16">
        <w:t>2017</w:t>
      </w:r>
      <w:r w:rsidR="00ED396E">
        <w:t>). This makes it more difficult for stakeholder</w:t>
      </w:r>
      <w:r w:rsidR="009B4D13">
        <w:t>s</w:t>
      </w:r>
      <w:r w:rsidR="00B55EA4">
        <w:t xml:space="preserve"> to understand the environmental impact of </w:t>
      </w:r>
      <w:r w:rsidR="008570D7">
        <w:t>an</w:t>
      </w:r>
      <w:r w:rsidR="00B55EA4">
        <w:t xml:space="preserve"> organisation as they cannot compare them to similar organisations. </w:t>
      </w:r>
      <w:r w:rsidR="008570D7">
        <w:t xml:space="preserve">The electricity generation sector is affected by this because </w:t>
      </w:r>
      <w:r w:rsidR="00325F72">
        <w:t>much of the progress in the sector often needs to be unanimous across organisations</w:t>
      </w:r>
      <w:r w:rsidR="008A1437">
        <w:t>, and it is more difficult to make beneficial change when there is little comparability.</w:t>
      </w:r>
    </w:p>
    <w:p w14:paraId="1D15051E" w14:textId="6C442126" w:rsidR="00DE6A25" w:rsidRPr="00187659" w:rsidRDefault="0096660C" w:rsidP="00B108AB">
      <w:pPr>
        <w:spacing w:line="360" w:lineRule="auto"/>
      </w:pPr>
      <w:r>
        <w:t xml:space="preserve">While only briefly mentioned in this report, the GRI </w:t>
      </w:r>
      <w:r w:rsidR="003E4649">
        <w:t xml:space="preserve">has had an influence on this sector and the next section will discuss how it may improve the sustainability reporting of these organisations. </w:t>
      </w:r>
      <w:r w:rsidR="004B36B1">
        <w:t xml:space="preserve">The limitations of the framework are </w:t>
      </w:r>
      <w:r w:rsidR="000829B9">
        <w:t>like</w:t>
      </w:r>
      <w:r w:rsidR="004B36B1">
        <w:t xml:space="preserve"> th</w:t>
      </w:r>
      <w:r w:rsidR="006676E5">
        <w:t>e others, with it being voluntary and free for all to use (</w:t>
      </w:r>
      <w:r w:rsidR="00187659">
        <w:t xml:space="preserve">Sethi </w:t>
      </w:r>
      <w:r w:rsidR="00187659">
        <w:rPr>
          <w:i/>
          <w:iCs/>
        </w:rPr>
        <w:t xml:space="preserve">et al., </w:t>
      </w:r>
      <w:r w:rsidR="00187659">
        <w:t>2017).</w:t>
      </w:r>
    </w:p>
    <w:p w14:paraId="4F3E94F9" w14:textId="3717BEDE" w:rsidR="00BA4D4C" w:rsidRDefault="00BA4D4C" w:rsidP="004434FD">
      <w:pPr>
        <w:pStyle w:val="Heading3"/>
        <w:numPr>
          <w:ilvl w:val="2"/>
          <w:numId w:val="46"/>
        </w:numPr>
      </w:pPr>
      <w:bookmarkStart w:id="19" w:name="_Toc94190428"/>
      <w:r>
        <w:t>Recommendations</w:t>
      </w:r>
      <w:bookmarkEnd w:id="19"/>
    </w:p>
    <w:p w14:paraId="25021C2C" w14:textId="77777777" w:rsidR="00C678D2" w:rsidRPr="00C678D2" w:rsidRDefault="00C678D2" w:rsidP="00C678D2"/>
    <w:p w14:paraId="32CDE524" w14:textId="038EDF76" w:rsidR="00FB5E84" w:rsidRDefault="00A728BF" w:rsidP="00A728BF">
      <w:pPr>
        <w:spacing w:line="360" w:lineRule="auto"/>
      </w:pPr>
      <w:r>
        <w:t>As mentioned earlier, the electricity generation sector has a significant impact on the economy of a nation</w:t>
      </w:r>
      <w:r w:rsidR="009664AA">
        <w:t xml:space="preserve"> (Kowal and Kustra, 2016)</w:t>
      </w:r>
      <w:r>
        <w:t>. Because of this, organisational sustainability reporting needs to be at a high standard</w:t>
      </w:r>
      <w:r w:rsidR="009664AA">
        <w:t xml:space="preserve">. </w:t>
      </w:r>
      <w:r w:rsidR="009C5095">
        <w:t xml:space="preserve">This means that, based on the findings of this report, improvements must be made. </w:t>
      </w:r>
      <w:r w:rsidR="00BC6AA4">
        <w:t xml:space="preserve">Studies by </w:t>
      </w:r>
      <w:r w:rsidR="008D4A93">
        <w:t>Camargos</w:t>
      </w:r>
      <w:r w:rsidR="0052722C">
        <w:t xml:space="preserve"> </w:t>
      </w:r>
      <w:r w:rsidR="0052722C">
        <w:rPr>
          <w:i/>
          <w:iCs/>
        </w:rPr>
        <w:t>et al.</w:t>
      </w:r>
      <w:r w:rsidR="008D4A93">
        <w:t xml:space="preserve"> (2014) and </w:t>
      </w:r>
      <w:r w:rsidR="00EA752F">
        <w:t xml:space="preserve">Wu </w:t>
      </w:r>
      <w:r w:rsidR="00EA752F">
        <w:rPr>
          <w:i/>
          <w:iCs/>
        </w:rPr>
        <w:t xml:space="preserve">et al. </w:t>
      </w:r>
      <w:r w:rsidR="00EA752F">
        <w:t xml:space="preserve">(2018) both discuss that KPIs and materiality are vital areas for improvement in </w:t>
      </w:r>
      <w:r w:rsidR="0063727A">
        <w:t xml:space="preserve">reporting in </w:t>
      </w:r>
      <w:r w:rsidR="00F147D9">
        <w:t>the sector</w:t>
      </w:r>
      <w:r w:rsidR="003F78CE">
        <w:t>. SSE were the organisation who presented their KPIs in the most comparable and understandable way, therefore both Drax and EDF energy can learn from th</w:t>
      </w:r>
      <w:r w:rsidR="007700BF">
        <w:t xml:space="preserve">is. In this example, use of the GRI can provide a framework which, for the short term at least, could </w:t>
      </w:r>
      <w:r w:rsidR="00E2372C">
        <w:t xml:space="preserve">be the benchmark for all organisations in the sector. </w:t>
      </w:r>
    </w:p>
    <w:p w14:paraId="2A1A6579" w14:textId="6B46DE90" w:rsidR="0096660C" w:rsidRDefault="00CB36EC" w:rsidP="00A728BF">
      <w:pPr>
        <w:spacing w:line="360" w:lineRule="auto"/>
      </w:pPr>
      <w:r>
        <w:t xml:space="preserve">A study by Domingues </w:t>
      </w:r>
      <w:r>
        <w:rPr>
          <w:i/>
          <w:iCs/>
        </w:rPr>
        <w:t>et</w:t>
      </w:r>
      <w:r w:rsidR="002055A7">
        <w:rPr>
          <w:i/>
          <w:iCs/>
        </w:rPr>
        <w:t xml:space="preserve"> al. </w:t>
      </w:r>
      <w:r w:rsidR="002055A7">
        <w:t>(2017</w:t>
      </w:r>
      <w:r w:rsidR="0029511B">
        <w:t>:300</w:t>
      </w:r>
      <w:r w:rsidR="002055A7">
        <w:t xml:space="preserve">) found that successful sustainability reporting is most commonly found in organisations where the change has been </w:t>
      </w:r>
      <w:r w:rsidR="0029511B">
        <w:t>‘driven by internal motivations’</w:t>
      </w:r>
      <w:r w:rsidR="00533C56">
        <w:t xml:space="preserve">. </w:t>
      </w:r>
      <w:r w:rsidR="00563690">
        <w:t xml:space="preserve">Giving staff at all levels of the company the opportunity to share their opinions and beliefs </w:t>
      </w:r>
      <w:r w:rsidR="006136BD">
        <w:t xml:space="preserve">allowed them to better understand their stakeholders, and therefore create shared value for a greater range of them. </w:t>
      </w:r>
      <w:r w:rsidR="001477C4">
        <w:t xml:space="preserve">This relates to Freeman’s (2010) stakeholder </w:t>
      </w:r>
      <w:r w:rsidR="0096660C">
        <w:t>theory and</w:t>
      </w:r>
      <w:r w:rsidR="001477C4">
        <w:t xml:space="preserve"> provides evidence </w:t>
      </w:r>
      <w:r w:rsidR="002C3E7A">
        <w:t xml:space="preserve">as to why organisations should value and engage with all their stakeholders. </w:t>
      </w:r>
      <w:r w:rsidR="0096660C">
        <w:t xml:space="preserve"> </w:t>
      </w:r>
    </w:p>
    <w:p w14:paraId="18D52B4F" w14:textId="77777777" w:rsidR="00C4511B" w:rsidRPr="002055A7" w:rsidRDefault="00C4511B" w:rsidP="00A728BF">
      <w:pPr>
        <w:spacing w:line="360" w:lineRule="auto"/>
      </w:pPr>
    </w:p>
    <w:p w14:paraId="38757B82" w14:textId="4C4A0AF1" w:rsidR="009C3B45" w:rsidRDefault="009C3B45" w:rsidP="001B781F">
      <w:pPr>
        <w:pStyle w:val="Heading1"/>
        <w:numPr>
          <w:ilvl w:val="0"/>
          <w:numId w:val="46"/>
        </w:numPr>
      </w:pPr>
      <w:bookmarkStart w:id="20" w:name="_Toc94190429"/>
      <w:r w:rsidRPr="003F0FC7">
        <w:lastRenderedPageBreak/>
        <w:t>Conclusion</w:t>
      </w:r>
      <w:bookmarkEnd w:id="20"/>
    </w:p>
    <w:p w14:paraId="5395B728" w14:textId="25AA731C" w:rsidR="00A728BF" w:rsidRDefault="00A728BF" w:rsidP="00A728BF"/>
    <w:p w14:paraId="170EB7BD" w14:textId="01E16F2C" w:rsidR="00DD4401" w:rsidRPr="00A728BF" w:rsidRDefault="00DD4401" w:rsidP="00B35A74">
      <w:pPr>
        <w:spacing w:line="360" w:lineRule="auto"/>
      </w:pPr>
      <w:r>
        <w:t>This report provided analysis into s</w:t>
      </w:r>
      <w:r w:rsidRPr="00DD4401">
        <w:t xml:space="preserve">ustainability </w:t>
      </w:r>
      <w:r>
        <w:t>c</w:t>
      </w:r>
      <w:r w:rsidRPr="00DD4401">
        <w:t xml:space="preserve">oncerns and </w:t>
      </w:r>
      <w:r>
        <w:t>b</w:t>
      </w:r>
      <w:r w:rsidRPr="00DD4401">
        <w:t xml:space="preserve">usiness </w:t>
      </w:r>
      <w:r>
        <w:t>r</w:t>
      </w:r>
      <w:r w:rsidRPr="00DD4401">
        <w:t xml:space="preserve">esponses in the </w:t>
      </w:r>
      <w:r>
        <w:t>e</w:t>
      </w:r>
      <w:r w:rsidRPr="00DD4401">
        <w:t xml:space="preserve">lectricity </w:t>
      </w:r>
      <w:r>
        <w:t>g</w:t>
      </w:r>
      <w:r w:rsidRPr="00DD4401">
        <w:t xml:space="preserve">eneration </w:t>
      </w:r>
      <w:r>
        <w:t>s</w:t>
      </w:r>
      <w:r w:rsidRPr="00DD4401">
        <w:t xml:space="preserve">ector in the </w:t>
      </w:r>
      <w:r>
        <w:t xml:space="preserve">UK. </w:t>
      </w:r>
      <w:r w:rsidR="006D4AC3">
        <w:t xml:space="preserve">This sector is critical to the nation’s sustainability goals </w:t>
      </w:r>
      <w:r w:rsidR="002B3FE6">
        <w:t xml:space="preserve">and therefore it is important that they constantly evaluate </w:t>
      </w:r>
      <w:r w:rsidR="004A7392">
        <w:t xml:space="preserve">the impacts that they have on society. </w:t>
      </w:r>
      <w:r w:rsidR="005B09DD">
        <w:t>The introduction of the 2008 Climate Change Act has created a legal demand for more sustainable electricity</w:t>
      </w:r>
      <w:r w:rsidR="003F68D8">
        <w:t xml:space="preserve">, but there has been a mixed response in how far companies are willing to alter their operations </w:t>
      </w:r>
      <w:r w:rsidR="00F27547">
        <w:t xml:space="preserve">for this. A stakeholder focus, particularly including consumers, </w:t>
      </w:r>
      <w:r w:rsidR="00324C4B">
        <w:t>encourages the right changes and</w:t>
      </w:r>
      <w:r w:rsidR="00E8259D">
        <w:t xml:space="preserve"> can result in significant positive results from the industry.</w:t>
      </w:r>
    </w:p>
    <w:p w14:paraId="74FEE751" w14:textId="44EB25E1" w:rsidR="00B326CB" w:rsidRDefault="00DC4B98" w:rsidP="001B781F">
      <w:pPr>
        <w:pStyle w:val="Heading1"/>
        <w:numPr>
          <w:ilvl w:val="0"/>
          <w:numId w:val="46"/>
        </w:numPr>
      </w:pPr>
      <w:bookmarkStart w:id="21" w:name="_Toc94190430"/>
      <w:r w:rsidRPr="003F0FC7">
        <w:t>References</w:t>
      </w:r>
      <w:bookmarkEnd w:id="21"/>
    </w:p>
    <w:p w14:paraId="0C18FAB7" w14:textId="77777777" w:rsidR="00C4511B" w:rsidRPr="00C4511B" w:rsidRDefault="00C4511B" w:rsidP="00C4511B"/>
    <w:p w14:paraId="24A0A95C" w14:textId="15965C6E" w:rsidR="00250130" w:rsidRDefault="00250130" w:rsidP="00765F29">
      <w:pPr>
        <w:spacing w:line="240" w:lineRule="auto"/>
      </w:pPr>
      <w:r>
        <w:t xml:space="preserve">Achinstein, P. (2001) </w:t>
      </w:r>
      <w:r>
        <w:rPr>
          <w:i/>
        </w:rPr>
        <w:t>The Book of Evidence</w:t>
      </w:r>
      <w:r>
        <w:t xml:space="preserve">. Oxford: Oxford University Press. </w:t>
      </w:r>
    </w:p>
    <w:p w14:paraId="4464B0A4" w14:textId="3CE644CF" w:rsidR="00963B63" w:rsidRPr="001D4B3B" w:rsidRDefault="00963B63" w:rsidP="00765F29">
      <w:pPr>
        <w:spacing w:line="240" w:lineRule="auto"/>
      </w:pPr>
      <w:r>
        <w:t>Adams, C.A. and Frost, G.R. (2008)</w:t>
      </w:r>
      <w:r w:rsidR="001D4B3B">
        <w:t xml:space="preserve"> </w:t>
      </w:r>
      <w:r w:rsidR="001D4B3B" w:rsidRPr="001D4B3B">
        <w:t>Integrating sustainability reporting into management practices</w:t>
      </w:r>
      <w:r w:rsidR="001D4B3B">
        <w:t xml:space="preserve">. </w:t>
      </w:r>
      <w:r w:rsidR="001D4B3B">
        <w:rPr>
          <w:i/>
          <w:iCs/>
        </w:rPr>
        <w:t xml:space="preserve">Accounting Forum, </w:t>
      </w:r>
      <w:r w:rsidR="001D4B3B">
        <w:t xml:space="preserve">32 (4), 288-302. Available at: </w:t>
      </w:r>
      <w:hyperlink r:id="rId10" w:history="1">
        <w:r w:rsidR="001D4B3B" w:rsidRPr="00B871C4">
          <w:rPr>
            <w:rStyle w:val="Hyperlink"/>
            <w:i/>
            <w:iCs/>
          </w:rPr>
          <w:t>https://doi.org/10.1016/j.accfor.2008.05.002</w:t>
        </w:r>
      </w:hyperlink>
      <w:r w:rsidR="001D4B3B">
        <w:rPr>
          <w:i/>
          <w:iCs/>
        </w:rPr>
        <w:t xml:space="preserve"> </w:t>
      </w:r>
      <w:r w:rsidR="001D4B3B">
        <w:t xml:space="preserve">[Accessed </w:t>
      </w:r>
      <w:r w:rsidR="006B273E">
        <w:t>20 March 2021].</w:t>
      </w:r>
    </w:p>
    <w:p w14:paraId="556E3C61" w14:textId="77777777" w:rsidR="009B3A70" w:rsidRDefault="00B326CB" w:rsidP="00765F29">
      <w:pPr>
        <w:spacing w:line="240" w:lineRule="auto"/>
      </w:pPr>
      <w:r>
        <w:t xml:space="preserve">Alrazi, B., de Villiers, C. and Van Staden, C.J. (2016) </w:t>
      </w:r>
      <w:r w:rsidRPr="00B326CB">
        <w:t>The environmental disclosures of the electricity generation industry: a global perspective</w:t>
      </w:r>
      <w:r>
        <w:t xml:space="preserve">. </w:t>
      </w:r>
      <w:r>
        <w:rPr>
          <w:i/>
        </w:rPr>
        <w:t xml:space="preserve">Accounting and Business Research, </w:t>
      </w:r>
      <w:r>
        <w:t xml:space="preserve">46 (6), 665-701. Available at: </w:t>
      </w:r>
      <w:hyperlink r:id="rId11" w:history="1">
        <w:r w:rsidRPr="00A634F3">
          <w:rPr>
            <w:rStyle w:val="Hyperlink"/>
            <w:i/>
          </w:rPr>
          <w:t>https://doi.org/10.1080/00014788.2015.1135781</w:t>
        </w:r>
      </w:hyperlink>
      <w:r>
        <w:rPr>
          <w:i/>
        </w:rPr>
        <w:t xml:space="preserve"> </w:t>
      </w:r>
      <w:r>
        <w:t>[Accessed 23 March 2021].</w:t>
      </w:r>
    </w:p>
    <w:p w14:paraId="4CA5721B" w14:textId="63BF4850" w:rsidR="00571F9A" w:rsidRPr="009B3A70" w:rsidRDefault="009B3A70" w:rsidP="00765F29">
      <w:pPr>
        <w:spacing w:line="240" w:lineRule="auto"/>
      </w:pPr>
      <w:r>
        <w:t>Amran, A. and Keat Ooi, S. (2014)</w:t>
      </w:r>
      <w:r w:rsidRPr="009B3A70">
        <w:t xml:space="preserve"> Sustainability reporting: meeting stakeholder demands</w:t>
      </w:r>
      <w:r>
        <w:t xml:space="preserve">. </w:t>
      </w:r>
      <w:r>
        <w:rPr>
          <w:i/>
        </w:rPr>
        <w:t xml:space="preserve">Strategic Direction, </w:t>
      </w:r>
      <w:r>
        <w:t xml:space="preserve">30 (7), 38-41. Available at: </w:t>
      </w:r>
      <w:hyperlink r:id="rId12" w:history="1">
        <w:r w:rsidRPr="00871854">
          <w:rPr>
            <w:rStyle w:val="Hyperlink"/>
            <w:i/>
          </w:rPr>
          <w:t>https://doi.org/10.1108/SD-03-2014-0035</w:t>
        </w:r>
      </w:hyperlink>
      <w:r>
        <w:rPr>
          <w:i/>
        </w:rPr>
        <w:t xml:space="preserve"> </w:t>
      </w:r>
      <w:r>
        <w:t>[Accessed 24 March 2021].</w:t>
      </w:r>
    </w:p>
    <w:p w14:paraId="02EACED6" w14:textId="0BD4CA9F" w:rsidR="00E4318C" w:rsidRDefault="00E4318C" w:rsidP="00765F29">
      <w:pPr>
        <w:spacing w:line="240" w:lineRule="auto"/>
        <w:rPr>
          <w:lang w:eastAsia="en-GB"/>
        </w:rPr>
      </w:pPr>
      <w:r w:rsidRPr="00E4318C">
        <w:rPr>
          <w:lang w:eastAsia="en-GB"/>
        </w:rPr>
        <w:t>Bolton, R., Foxon, T. J., and Hall, S. (2016) Energy transitions and uncertainty: Creating low carbon investment opportunities in the UK electricity sector. </w:t>
      </w:r>
      <w:r w:rsidRPr="00E4318C">
        <w:rPr>
          <w:i/>
          <w:iCs/>
          <w:lang w:eastAsia="en-GB"/>
        </w:rPr>
        <w:t>Environment and Planning C: Government and Policy</w:t>
      </w:r>
      <w:r w:rsidRPr="00E4318C">
        <w:rPr>
          <w:lang w:eastAsia="en-GB"/>
        </w:rPr>
        <w:t> 34, (8) 1387–1403.</w:t>
      </w:r>
      <w:r w:rsidR="005B7B2D">
        <w:rPr>
          <w:lang w:eastAsia="en-GB"/>
        </w:rPr>
        <w:t xml:space="preserve"> Available at:</w:t>
      </w:r>
      <w:r w:rsidRPr="00E4318C">
        <w:rPr>
          <w:lang w:eastAsia="en-GB"/>
        </w:rPr>
        <w:t xml:space="preserve"> </w:t>
      </w:r>
      <w:hyperlink r:id="rId13" w:history="1">
        <w:r w:rsidR="005B7B2D" w:rsidRPr="004C7B26">
          <w:rPr>
            <w:rStyle w:val="Hyperlink"/>
            <w:i/>
            <w:lang w:eastAsia="en-GB"/>
          </w:rPr>
          <w:t>https://doi.org/10.1177/0263774x15619628</w:t>
        </w:r>
      </w:hyperlink>
      <w:r w:rsidR="005B7B2D">
        <w:rPr>
          <w:lang w:eastAsia="en-GB"/>
        </w:rPr>
        <w:t xml:space="preserve"> </w:t>
      </w:r>
      <w:r w:rsidRPr="00E4318C">
        <w:rPr>
          <w:lang w:eastAsia="en-GB"/>
        </w:rPr>
        <w:t>[Accessed February 17, 2021]</w:t>
      </w:r>
      <w:r w:rsidR="00086E2E">
        <w:rPr>
          <w:lang w:eastAsia="en-GB"/>
        </w:rPr>
        <w:t>.</w:t>
      </w:r>
    </w:p>
    <w:p w14:paraId="7D6DFA9E" w14:textId="18C8BE70" w:rsidR="00D304FA" w:rsidRPr="0025188E" w:rsidRDefault="00D304FA" w:rsidP="00765F29">
      <w:pPr>
        <w:spacing w:line="240" w:lineRule="auto"/>
      </w:pPr>
      <w:r>
        <w:rPr>
          <w:lang w:eastAsia="en-GB"/>
        </w:rPr>
        <w:t>Camargos, M.R.</w:t>
      </w:r>
      <w:r w:rsidR="0052722C">
        <w:rPr>
          <w:lang w:eastAsia="en-GB"/>
        </w:rPr>
        <w:t>, Jannuzzi, G.M. and Gavira, M.O. (</w:t>
      </w:r>
      <w:r w:rsidR="00422DFD">
        <w:rPr>
          <w:lang w:eastAsia="en-GB"/>
        </w:rPr>
        <w:t>2014) Analysis of the sustainability reporting initiatives of electric utilities in Brazil.</w:t>
      </w:r>
      <w:r w:rsidR="003942B5">
        <w:t xml:space="preserve"> </w:t>
      </w:r>
      <w:r w:rsidR="003942B5">
        <w:rPr>
          <w:i/>
          <w:iCs/>
        </w:rPr>
        <w:t xml:space="preserve">Industrija, </w:t>
      </w:r>
      <w:r w:rsidR="003942B5">
        <w:t>42 (1), 127-</w:t>
      </w:r>
      <w:r w:rsidR="0025188E">
        <w:t xml:space="preserve">147. Available at: </w:t>
      </w:r>
      <w:hyperlink r:id="rId14" w:history="1">
        <w:r w:rsidR="0025188E" w:rsidRPr="006747CC">
          <w:rPr>
            <w:rStyle w:val="Hyperlink"/>
            <w:i/>
            <w:iCs/>
          </w:rPr>
          <w:t>https://aseestant.ceon.rs/index.php/industrija/article/view/5131/1835</w:t>
        </w:r>
      </w:hyperlink>
      <w:r w:rsidR="0025188E">
        <w:rPr>
          <w:i/>
          <w:iCs/>
        </w:rPr>
        <w:t xml:space="preserve"> </w:t>
      </w:r>
      <w:r w:rsidR="0025188E">
        <w:t>[Accessed 24 March 2021].</w:t>
      </w:r>
    </w:p>
    <w:p w14:paraId="2B765BFE" w14:textId="19D4778E" w:rsidR="00252634" w:rsidRPr="006121C1" w:rsidRDefault="00252634" w:rsidP="00765F29">
      <w:pPr>
        <w:spacing w:line="240" w:lineRule="auto"/>
        <w:rPr>
          <w:lang w:eastAsia="en-GB"/>
        </w:rPr>
      </w:pPr>
      <w:r>
        <w:rPr>
          <w:lang w:eastAsia="en-GB"/>
        </w:rPr>
        <w:t xml:space="preserve">Carroll, A.B. (2016) </w:t>
      </w:r>
      <w:r w:rsidR="00445FD0">
        <w:rPr>
          <w:lang w:eastAsia="en-GB"/>
        </w:rPr>
        <w:t xml:space="preserve">Carroll’s pyramid of CSR: taking another look. </w:t>
      </w:r>
      <w:r w:rsidR="00445FD0">
        <w:rPr>
          <w:i/>
          <w:iCs/>
          <w:lang w:eastAsia="en-GB"/>
        </w:rPr>
        <w:t xml:space="preserve">International Journal of Corporate Social Responsibility, </w:t>
      </w:r>
      <w:r w:rsidR="0024281C">
        <w:rPr>
          <w:lang w:eastAsia="en-GB"/>
        </w:rPr>
        <w:t xml:space="preserve">1 (3). Available at: </w:t>
      </w:r>
      <w:hyperlink r:id="rId15" w:history="1">
        <w:r w:rsidR="006121C1" w:rsidRPr="00700971">
          <w:rPr>
            <w:rStyle w:val="Hyperlink"/>
            <w:i/>
            <w:iCs/>
            <w:lang w:eastAsia="en-GB"/>
          </w:rPr>
          <w:t>https://doi.org/10.1186/s40991-016-0004-6</w:t>
        </w:r>
      </w:hyperlink>
      <w:r w:rsidR="006121C1">
        <w:rPr>
          <w:i/>
          <w:iCs/>
          <w:lang w:eastAsia="en-GB"/>
        </w:rPr>
        <w:t xml:space="preserve"> </w:t>
      </w:r>
      <w:r w:rsidR="006121C1">
        <w:rPr>
          <w:lang w:eastAsia="en-GB"/>
        </w:rPr>
        <w:t>[Accessed 20 March 2021].</w:t>
      </w:r>
    </w:p>
    <w:p w14:paraId="050D9DEB" w14:textId="7F9F1650" w:rsidR="00E4318C" w:rsidRDefault="00E4318C" w:rsidP="00765F29">
      <w:pPr>
        <w:spacing w:line="240" w:lineRule="auto"/>
        <w:rPr>
          <w:lang w:eastAsia="en-GB"/>
        </w:rPr>
      </w:pPr>
      <w:r w:rsidRPr="00E4318C">
        <w:rPr>
          <w:lang w:eastAsia="en-GB"/>
        </w:rPr>
        <w:t xml:space="preserve">Chalvatzis, K. J., and Hooper, E. (2009) Energy security vs. climate change: Theoretical framework development and experience in selected EU electricity </w:t>
      </w:r>
      <w:r w:rsidRPr="00E4318C">
        <w:rPr>
          <w:lang w:eastAsia="en-GB"/>
        </w:rPr>
        <w:lastRenderedPageBreak/>
        <w:t>markets. </w:t>
      </w:r>
      <w:r w:rsidRPr="00E4318C">
        <w:rPr>
          <w:i/>
          <w:iCs/>
          <w:lang w:eastAsia="en-GB"/>
        </w:rPr>
        <w:t>Renewable and Sustainable Energy Reviews</w:t>
      </w:r>
      <w:r w:rsidRPr="00E4318C">
        <w:rPr>
          <w:lang w:eastAsia="en-GB"/>
        </w:rPr>
        <w:t xml:space="preserve"> 13, (9) 2703–2709. </w:t>
      </w:r>
      <w:r w:rsidR="005B7B2D">
        <w:rPr>
          <w:lang w:eastAsia="en-GB"/>
        </w:rPr>
        <w:t xml:space="preserve">Available at: </w:t>
      </w:r>
      <w:hyperlink r:id="rId16" w:history="1">
        <w:r w:rsidR="00086E2E" w:rsidRPr="004C7B26">
          <w:rPr>
            <w:rStyle w:val="Hyperlink"/>
            <w:i/>
            <w:lang w:eastAsia="en-GB"/>
          </w:rPr>
          <w:t>https://doi.org/10.1016/j.rser.2009.07.013</w:t>
        </w:r>
      </w:hyperlink>
      <w:r w:rsidR="00086E2E">
        <w:rPr>
          <w:lang w:eastAsia="en-GB"/>
        </w:rPr>
        <w:t xml:space="preserve"> </w:t>
      </w:r>
      <w:r w:rsidRPr="00E4318C">
        <w:rPr>
          <w:lang w:eastAsia="en-GB"/>
        </w:rPr>
        <w:t>[Accessed February 18, 2021]</w:t>
      </w:r>
      <w:r w:rsidR="00086E2E">
        <w:rPr>
          <w:lang w:eastAsia="en-GB"/>
        </w:rPr>
        <w:t>.</w:t>
      </w:r>
    </w:p>
    <w:p w14:paraId="1527F460" w14:textId="38676656" w:rsidR="0068092C" w:rsidRDefault="0068092C" w:rsidP="00765F29">
      <w:pPr>
        <w:spacing w:line="240" w:lineRule="auto"/>
        <w:rPr>
          <w:lang w:eastAsia="en-GB"/>
        </w:rPr>
      </w:pPr>
      <w:r>
        <w:rPr>
          <w:lang w:eastAsia="en-GB"/>
        </w:rPr>
        <w:t xml:space="preserve">Coulmont, M., Berthelot, S., Paul, M. (2017) The Global Compact and its concrete effects. </w:t>
      </w:r>
      <w:r>
        <w:rPr>
          <w:i/>
          <w:iCs/>
          <w:lang w:eastAsia="en-GB"/>
        </w:rPr>
        <w:t xml:space="preserve">Journal of Global Responsibility, </w:t>
      </w:r>
      <w:r w:rsidR="007D48AC">
        <w:rPr>
          <w:lang w:eastAsia="en-GB"/>
        </w:rPr>
        <w:t xml:space="preserve">8 (2), 300-311. Available at: </w:t>
      </w:r>
      <w:hyperlink r:id="rId17" w:history="1">
        <w:r w:rsidR="007D48AC" w:rsidRPr="00FF0A72">
          <w:rPr>
            <w:rStyle w:val="Hyperlink"/>
            <w:i/>
            <w:iCs/>
            <w:lang w:eastAsia="en-GB"/>
          </w:rPr>
          <w:t>https://doi.org/10.1108/JGR-02-2017-0011</w:t>
        </w:r>
      </w:hyperlink>
      <w:r w:rsidR="007D48AC">
        <w:rPr>
          <w:i/>
          <w:iCs/>
          <w:lang w:eastAsia="en-GB"/>
        </w:rPr>
        <w:t xml:space="preserve"> </w:t>
      </w:r>
      <w:r w:rsidR="007D48AC">
        <w:rPr>
          <w:lang w:eastAsia="en-GB"/>
        </w:rPr>
        <w:t>[Accessed 25 March 2021].</w:t>
      </w:r>
    </w:p>
    <w:p w14:paraId="71CDD173" w14:textId="593B0D75" w:rsidR="00311159" w:rsidRPr="00FB52EB" w:rsidRDefault="00311159" w:rsidP="00765F29">
      <w:pPr>
        <w:spacing w:line="240" w:lineRule="auto"/>
        <w:rPr>
          <w:lang w:eastAsia="en-GB"/>
        </w:rPr>
      </w:pPr>
      <w:r>
        <w:rPr>
          <w:lang w:eastAsia="en-GB"/>
        </w:rPr>
        <w:t>Domingues, A.</w:t>
      </w:r>
      <w:r w:rsidR="00E42CBA">
        <w:rPr>
          <w:lang w:eastAsia="en-GB"/>
        </w:rPr>
        <w:t>R.</w:t>
      </w:r>
      <w:r>
        <w:rPr>
          <w:lang w:eastAsia="en-GB"/>
        </w:rPr>
        <w:t xml:space="preserve">, Lozano, R., Ceulemans, K. and Ramos, T.B. (2017) </w:t>
      </w:r>
      <w:r w:rsidR="00E42CBA" w:rsidRPr="00E42CBA">
        <w:rPr>
          <w:lang w:eastAsia="en-GB"/>
        </w:rPr>
        <w:t>Sustainability reporting in public sector organisations: Exploring the relation between the reporting process and organisational change management for sustainability</w:t>
      </w:r>
      <w:r w:rsidR="00E42CBA">
        <w:rPr>
          <w:lang w:eastAsia="en-GB"/>
        </w:rPr>
        <w:t xml:space="preserve">. </w:t>
      </w:r>
      <w:r w:rsidR="00E42CBA">
        <w:rPr>
          <w:i/>
          <w:iCs/>
          <w:lang w:eastAsia="en-GB"/>
        </w:rPr>
        <w:t xml:space="preserve">Journal of Environmental Management, </w:t>
      </w:r>
      <w:r w:rsidR="00E42CBA">
        <w:rPr>
          <w:lang w:eastAsia="en-GB"/>
        </w:rPr>
        <w:t>192, 292-301. Available at:</w:t>
      </w:r>
      <w:r w:rsidR="00FB52EB">
        <w:rPr>
          <w:lang w:eastAsia="en-GB"/>
        </w:rPr>
        <w:t xml:space="preserve"> </w:t>
      </w:r>
      <w:hyperlink r:id="rId18" w:history="1">
        <w:r w:rsidR="00FB52EB" w:rsidRPr="00616B35">
          <w:rPr>
            <w:rStyle w:val="Hyperlink"/>
            <w:i/>
            <w:iCs/>
            <w:lang w:eastAsia="en-GB"/>
          </w:rPr>
          <w:t>https://doi.org/10.1016/j.jenvman.2017.01.074</w:t>
        </w:r>
      </w:hyperlink>
      <w:r w:rsidR="00FB52EB">
        <w:rPr>
          <w:i/>
          <w:iCs/>
          <w:lang w:eastAsia="en-GB"/>
        </w:rPr>
        <w:t xml:space="preserve"> </w:t>
      </w:r>
      <w:r w:rsidR="00FB52EB">
        <w:rPr>
          <w:lang w:eastAsia="en-GB"/>
        </w:rPr>
        <w:t>[Accessed 25 March 2021].</w:t>
      </w:r>
    </w:p>
    <w:p w14:paraId="17EA2784" w14:textId="18389786" w:rsidR="003A7A3C" w:rsidRDefault="003A7A3C" w:rsidP="00765F29">
      <w:pPr>
        <w:spacing w:line="240" w:lineRule="auto"/>
        <w:rPr>
          <w:lang w:eastAsia="en-GB"/>
        </w:rPr>
      </w:pPr>
      <w:r>
        <w:rPr>
          <w:i/>
          <w:lang w:eastAsia="en-GB"/>
        </w:rPr>
        <w:t xml:space="preserve">Drax Group Plc </w:t>
      </w:r>
      <w:r>
        <w:rPr>
          <w:lang w:eastAsia="en-GB"/>
        </w:rPr>
        <w:t xml:space="preserve">(2020) Driven by our purpose: Annual report and accounts. Available at: </w:t>
      </w:r>
      <w:hyperlink r:id="rId19" w:history="1">
        <w:r w:rsidRPr="00A634F3">
          <w:rPr>
            <w:rStyle w:val="Hyperlink"/>
            <w:i/>
            <w:lang w:eastAsia="en-GB"/>
          </w:rPr>
          <w:t>https://www.drax.com/wp-content/uploads/2021/03/Drax_AR2020.pdf</w:t>
        </w:r>
      </w:hyperlink>
      <w:r>
        <w:rPr>
          <w:i/>
          <w:lang w:eastAsia="en-GB"/>
        </w:rPr>
        <w:t xml:space="preserve"> </w:t>
      </w:r>
      <w:r>
        <w:rPr>
          <w:lang w:eastAsia="en-GB"/>
        </w:rPr>
        <w:t xml:space="preserve">[Accessed </w:t>
      </w:r>
      <w:r w:rsidR="003D458E">
        <w:rPr>
          <w:lang w:eastAsia="en-GB"/>
        </w:rPr>
        <w:t>23 March 2021].</w:t>
      </w:r>
    </w:p>
    <w:p w14:paraId="70D6200B" w14:textId="63A3D1F7" w:rsidR="003D458E" w:rsidRDefault="003D458E" w:rsidP="00765F29">
      <w:pPr>
        <w:spacing w:line="240" w:lineRule="auto"/>
        <w:rPr>
          <w:lang w:eastAsia="en-GB"/>
        </w:rPr>
      </w:pPr>
      <w:r>
        <w:rPr>
          <w:i/>
          <w:lang w:eastAsia="en-GB"/>
        </w:rPr>
        <w:t xml:space="preserve">Drax Group Plc </w:t>
      </w:r>
      <w:r>
        <w:rPr>
          <w:lang w:eastAsia="en-GB"/>
        </w:rPr>
        <w:t xml:space="preserve">(2021) Sustainability. Available at: </w:t>
      </w:r>
      <w:hyperlink r:id="rId20" w:history="1">
        <w:r w:rsidRPr="00A634F3">
          <w:rPr>
            <w:rStyle w:val="Hyperlink"/>
            <w:i/>
            <w:lang w:eastAsia="en-GB"/>
          </w:rPr>
          <w:t>https://www.drax.com/sustainability/</w:t>
        </w:r>
      </w:hyperlink>
      <w:r>
        <w:rPr>
          <w:i/>
          <w:lang w:eastAsia="en-GB"/>
        </w:rPr>
        <w:t xml:space="preserve"> </w:t>
      </w:r>
      <w:r>
        <w:rPr>
          <w:lang w:eastAsia="en-GB"/>
        </w:rPr>
        <w:t>[Accessed 11 March 2021].</w:t>
      </w:r>
    </w:p>
    <w:p w14:paraId="1EBAE073" w14:textId="05AC4E01" w:rsidR="002F15D2" w:rsidRPr="002F15D2" w:rsidRDefault="002F15D2" w:rsidP="00765F29">
      <w:pPr>
        <w:spacing w:line="240" w:lineRule="auto"/>
        <w:rPr>
          <w:lang w:eastAsia="en-GB"/>
        </w:rPr>
      </w:pPr>
      <w:r>
        <w:rPr>
          <w:i/>
          <w:lang w:eastAsia="en-GB"/>
        </w:rPr>
        <w:t xml:space="preserve">EDF Energy </w:t>
      </w:r>
      <w:r>
        <w:rPr>
          <w:lang w:eastAsia="en-GB"/>
        </w:rPr>
        <w:t xml:space="preserve">(2019) The Better Plan: 2019 performance summary. Available at: </w:t>
      </w:r>
      <w:hyperlink r:id="rId21" w:history="1">
        <w:r w:rsidRPr="00A634F3">
          <w:rPr>
            <w:rStyle w:val="Hyperlink"/>
            <w:i/>
            <w:lang w:eastAsia="en-GB"/>
          </w:rPr>
          <w:t>https://www.edfenergy.com/sites/default/files/the_better_plan_2019_performance_summary_-_h2806.pdf</w:t>
        </w:r>
      </w:hyperlink>
      <w:r>
        <w:rPr>
          <w:i/>
          <w:lang w:eastAsia="en-GB"/>
        </w:rPr>
        <w:t xml:space="preserve"> </w:t>
      </w:r>
      <w:r>
        <w:rPr>
          <w:lang w:eastAsia="en-GB"/>
        </w:rPr>
        <w:t>[Accessed 22 March 2021].</w:t>
      </w:r>
    </w:p>
    <w:p w14:paraId="41CABEE6" w14:textId="6A7AC51E" w:rsidR="00E4318C" w:rsidRDefault="00E4318C" w:rsidP="00765F29">
      <w:pPr>
        <w:spacing w:line="240" w:lineRule="auto"/>
        <w:rPr>
          <w:lang w:eastAsia="en-GB"/>
        </w:rPr>
      </w:pPr>
      <w:r w:rsidRPr="00B326CB">
        <w:rPr>
          <w:i/>
          <w:lang w:eastAsia="en-GB"/>
        </w:rPr>
        <w:t>EDF Energy</w:t>
      </w:r>
      <w:r w:rsidRPr="00E4318C">
        <w:rPr>
          <w:lang w:eastAsia="en-GB"/>
        </w:rPr>
        <w:t xml:space="preserve"> (2020) Energy Efficiency for Home Owners. </w:t>
      </w:r>
      <w:r w:rsidRPr="00E4318C">
        <w:rPr>
          <w:i/>
          <w:iCs/>
          <w:lang w:eastAsia="en-GB"/>
        </w:rPr>
        <w:t>EDF</w:t>
      </w:r>
      <w:r w:rsidRPr="00E4318C">
        <w:rPr>
          <w:lang w:eastAsia="en-GB"/>
        </w:rPr>
        <w:t xml:space="preserve">. Available at: </w:t>
      </w:r>
      <w:hyperlink r:id="rId22" w:history="1">
        <w:r w:rsidR="00086E2E" w:rsidRPr="004C7B26">
          <w:rPr>
            <w:rStyle w:val="Hyperlink"/>
            <w:i/>
            <w:lang w:eastAsia="en-GB"/>
          </w:rPr>
          <w:t>https://www.edfenergy.com/energy-efficiency?_ga=2.90878174.579570668.1613988627-218410336.1613988627</w:t>
        </w:r>
      </w:hyperlink>
      <w:r w:rsidR="00086E2E">
        <w:rPr>
          <w:lang w:eastAsia="en-GB"/>
        </w:rPr>
        <w:t xml:space="preserve"> </w:t>
      </w:r>
      <w:r w:rsidRPr="00E4318C">
        <w:rPr>
          <w:lang w:eastAsia="en-GB"/>
        </w:rPr>
        <w:t>[Accessed February 22, 2021]</w:t>
      </w:r>
      <w:r w:rsidR="00086E2E">
        <w:rPr>
          <w:lang w:eastAsia="en-GB"/>
        </w:rPr>
        <w:t>.</w:t>
      </w:r>
    </w:p>
    <w:p w14:paraId="02E9028B" w14:textId="57164393" w:rsidR="00B326CB" w:rsidRPr="00B326CB" w:rsidRDefault="00B326CB" w:rsidP="00765F29">
      <w:pPr>
        <w:spacing w:line="240" w:lineRule="auto"/>
        <w:rPr>
          <w:lang w:eastAsia="en-GB"/>
        </w:rPr>
      </w:pPr>
      <w:r>
        <w:rPr>
          <w:i/>
          <w:lang w:eastAsia="en-GB"/>
        </w:rPr>
        <w:t xml:space="preserve">EDF Energy </w:t>
      </w:r>
      <w:r>
        <w:rPr>
          <w:lang w:eastAsia="en-GB"/>
        </w:rPr>
        <w:t xml:space="preserve">(2021) Helping Britain Achieve Net Zero. Available at: </w:t>
      </w:r>
      <w:hyperlink r:id="rId23" w:history="1">
        <w:r w:rsidRPr="00A634F3">
          <w:rPr>
            <w:rStyle w:val="Hyperlink"/>
            <w:i/>
            <w:lang w:eastAsia="en-GB"/>
          </w:rPr>
          <w:t>https://www.edfenergy.com/about/sustainability</w:t>
        </w:r>
      </w:hyperlink>
      <w:r>
        <w:rPr>
          <w:i/>
          <w:lang w:eastAsia="en-GB"/>
        </w:rPr>
        <w:t xml:space="preserve"> </w:t>
      </w:r>
      <w:r>
        <w:rPr>
          <w:lang w:eastAsia="en-GB"/>
        </w:rPr>
        <w:t>[Accessed 20 March 2021].</w:t>
      </w:r>
    </w:p>
    <w:p w14:paraId="1A0A676E" w14:textId="569BD8AF" w:rsidR="00E4318C" w:rsidRDefault="00E4318C" w:rsidP="00765F29">
      <w:pPr>
        <w:spacing w:line="240" w:lineRule="auto"/>
        <w:rPr>
          <w:lang w:eastAsia="en-GB"/>
        </w:rPr>
      </w:pPr>
      <w:r w:rsidRPr="00E4318C">
        <w:rPr>
          <w:lang w:eastAsia="en-GB"/>
        </w:rPr>
        <w:t>Edwards, M. (2019) </w:t>
      </w:r>
      <w:r w:rsidRPr="00E4318C">
        <w:rPr>
          <w:i/>
          <w:iCs/>
          <w:lang w:eastAsia="en-GB"/>
        </w:rPr>
        <w:t>Civil society</w:t>
      </w:r>
      <w:r w:rsidRPr="00E4318C">
        <w:rPr>
          <w:lang w:eastAsia="en-GB"/>
        </w:rPr>
        <w:t>. Medford: Polity Press</w:t>
      </w:r>
      <w:r w:rsidR="009959EF">
        <w:rPr>
          <w:lang w:eastAsia="en-GB"/>
        </w:rPr>
        <w:t>.</w:t>
      </w:r>
    </w:p>
    <w:p w14:paraId="33D48A71" w14:textId="20B6C31B" w:rsidR="009959EF" w:rsidRPr="008C226F" w:rsidRDefault="009959EF" w:rsidP="009959EF">
      <w:pPr>
        <w:spacing w:line="240" w:lineRule="auto"/>
        <w:rPr>
          <w:lang w:eastAsia="en-GB"/>
        </w:rPr>
      </w:pPr>
      <w:r>
        <w:rPr>
          <w:lang w:eastAsia="en-GB"/>
        </w:rPr>
        <w:t>Elkington, J. (1998) Partnerships from Cannibals with Forks: The Triple Bottom line of 21</w:t>
      </w:r>
      <w:r w:rsidRPr="009959EF">
        <w:rPr>
          <w:vertAlign w:val="superscript"/>
          <w:lang w:eastAsia="en-GB"/>
        </w:rPr>
        <w:t>st</w:t>
      </w:r>
      <w:r>
        <w:rPr>
          <w:lang w:eastAsia="en-GB"/>
        </w:rPr>
        <w:t xml:space="preserve"> Century Business. </w:t>
      </w:r>
      <w:r w:rsidR="00E162BE">
        <w:rPr>
          <w:i/>
          <w:iCs/>
          <w:lang w:eastAsia="en-GB"/>
        </w:rPr>
        <w:t xml:space="preserve">Environmental Quality Management, </w:t>
      </w:r>
      <w:r w:rsidR="00E162BE">
        <w:rPr>
          <w:lang w:eastAsia="en-GB"/>
        </w:rPr>
        <w:t xml:space="preserve">8 (1), 37-51. Available at: </w:t>
      </w:r>
      <w:hyperlink r:id="rId24" w:history="1">
        <w:r w:rsidR="008C226F" w:rsidRPr="004906FB">
          <w:rPr>
            <w:rStyle w:val="Hyperlink"/>
            <w:i/>
            <w:iCs/>
            <w:lang w:eastAsia="en-GB"/>
          </w:rPr>
          <w:t>https://doi.org/10.1002/tqem.3310080106</w:t>
        </w:r>
      </w:hyperlink>
      <w:r w:rsidR="008C226F">
        <w:rPr>
          <w:i/>
          <w:iCs/>
          <w:lang w:eastAsia="en-GB"/>
        </w:rPr>
        <w:t xml:space="preserve"> </w:t>
      </w:r>
      <w:r w:rsidR="008C226F">
        <w:rPr>
          <w:lang w:eastAsia="en-GB"/>
        </w:rPr>
        <w:t>[Accessed 8 April 2021].</w:t>
      </w:r>
    </w:p>
    <w:p w14:paraId="5FC1B60B" w14:textId="33E8440C" w:rsidR="001E2992" w:rsidRPr="00972F29" w:rsidRDefault="001E2992" w:rsidP="00765F29">
      <w:pPr>
        <w:spacing w:line="240" w:lineRule="auto"/>
        <w:rPr>
          <w:lang w:eastAsia="en-GB"/>
        </w:rPr>
      </w:pPr>
      <w:r>
        <w:rPr>
          <w:lang w:eastAsia="en-GB"/>
        </w:rPr>
        <w:t xml:space="preserve">Fleming, A., Wise, R.M., Hansen, H. and Sams, L. (2017) </w:t>
      </w:r>
      <w:r w:rsidRPr="001E2992">
        <w:rPr>
          <w:lang w:eastAsia="en-GB"/>
        </w:rPr>
        <w:t>The sustainable development goals: A case study</w:t>
      </w:r>
      <w:r>
        <w:rPr>
          <w:lang w:eastAsia="en-GB"/>
        </w:rPr>
        <w:t xml:space="preserve">. </w:t>
      </w:r>
      <w:r>
        <w:rPr>
          <w:i/>
          <w:iCs/>
          <w:lang w:eastAsia="en-GB"/>
        </w:rPr>
        <w:t xml:space="preserve">Marine Policy, </w:t>
      </w:r>
      <w:r w:rsidR="00972F29">
        <w:rPr>
          <w:lang w:eastAsia="en-GB"/>
        </w:rPr>
        <w:t xml:space="preserve">86, 94-103. Available at: </w:t>
      </w:r>
      <w:hyperlink r:id="rId25" w:history="1">
        <w:r w:rsidR="00972F29" w:rsidRPr="00B871C4">
          <w:rPr>
            <w:rStyle w:val="Hyperlink"/>
            <w:i/>
            <w:iCs/>
            <w:lang w:eastAsia="en-GB"/>
          </w:rPr>
          <w:t>https://doi.org/10.1016/j.marpol.2017.09.019</w:t>
        </w:r>
      </w:hyperlink>
      <w:r w:rsidR="00972F29">
        <w:rPr>
          <w:i/>
          <w:iCs/>
          <w:lang w:eastAsia="en-GB"/>
        </w:rPr>
        <w:t xml:space="preserve"> </w:t>
      </w:r>
      <w:r w:rsidR="00972F29">
        <w:rPr>
          <w:lang w:eastAsia="en-GB"/>
        </w:rPr>
        <w:t xml:space="preserve">[Accessed 25 March 2021]. </w:t>
      </w:r>
    </w:p>
    <w:p w14:paraId="46B040C7" w14:textId="3E49B56C" w:rsidR="00E4318C" w:rsidRDefault="00E4318C" w:rsidP="00765F29">
      <w:pPr>
        <w:spacing w:line="240" w:lineRule="auto"/>
        <w:rPr>
          <w:lang w:eastAsia="en-GB"/>
        </w:rPr>
      </w:pPr>
      <w:r w:rsidRPr="00E4318C">
        <w:rPr>
          <w:lang w:eastAsia="en-GB"/>
        </w:rPr>
        <w:t>Foxon, T. J. (2013) Transition pathways for a UK low carbon electricity future. </w:t>
      </w:r>
      <w:r w:rsidRPr="00E4318C">
        <w:rPr>
          <w:i/>
          <w:iCs/>
          <w:lang w:eastAsia="en-GB"/>
        </w:rPr>
        <w:t>Energy Policy</w:t>
      </w:r>
      <w:r w:rsidRPr="00E4318C">
        <w:rPr>
          <w:lang w:eastAsia="en-GB"/>
        </w:rPr>
        <w:t xml:space="preserve"> 52, (1) 10–24. </w:t>
      </w:r>
      <w:hyperlink r:id="rId26" w:history="1">
        <w:r w:rsidR="00086E2E" w:rsidRPr="004C7B26">
          <w:rPr>
            <w:rStyle w:val="Hyperlink"/>
            <w:i/>
            <w:lang w:eastAsia="en-GB"/>
          </w:rPr>
          <w:t>https://doi.org/10.1016/j.enpol.2012.04.001</w:t>
        </w:r>
      </w:hyperlink>
      <w:r w:rsidR="00086E2E">
        <w:rPr>
          <w:i/>
          <w:lang w:eastAsia="en-GB"/>
        </w:rPr>
        <w:t xml:space="preserve"> </w:t>
      </w:r>
      <w:r w:rsidRPr="00E4318C">
        <w:rPr>
          <w:lang w:eastAsia="en-GB"/>
        </w:rPr>
        <w:t>[Accessed February 21, 2021]</w:t>
      </w:r>
      <w:r w:rsidR="00086E2E">
        <w:rPr>
          <w:lang w:eastAsia="en-GB"/>
        </w:rPr>
        <w:t>.</w:t>
      </w:r>
    </w:p>
    <w:p w14:paraId="2CC1B3BF" w14:textId="61F587FD" w:rsidR="00C376A1" w:rsidRPr="00E4318C" w:rsidRDefault="00C376A1" w:rsidP="00765F29">
      <w:pPr>
        <w:spacing w:line="240" w:lineRule="auto"/>
        <w:rPr>
          <w:lang w:eastAsia="en-GB"/>
        </w:rPr>
      </w:pPr>
      <w:r>
        <w:rPr>
          <w:lang w:eastAsia="en-GB"/>
        </w:rPr>
        <w:t xml:space="preserve">Freeman, R.E. (2010) </w:t>
      </w:r>
      <w:r w:rsidR="000115FE" w:rsidRPr="000115FE">
        <w:rPr>
          <w:i/>
          <w:iCs/>
          <w:lang w:eastAsia="en-GB"/>
        </w:rPr>
        <w:t>Strategic Management: A Stakeholder Approach</w:t>
      </w:r>
      <w:r w:rsidR="000115FE">
        <w:rPr>
          <w:lang w:eastAsia="en-GB"/>
        </w:rPr>
        <w:t>. Cambridge: Cambridge University Press.</w:t>
      </w:r>
    </w:p>
    <w:p w14:paraId="72B1E3F6" w14:textId="7278B5E0" w:rsidR="00E4318C" w:rsidRPr="00E4318C" w:rsidRDefault="00E4318C" w:rsidP="00765F29">
      <w:pPr>
        <w:spacing w:line="240" w:lineRule="auto"/>
        <w:rPr>
          <w:lang w:eastAsia="en-GB"/>
        </w:rPr>
      </w:pPr>
      <w:r w:rsidRPr="00E4318C">
        <w:rPr>
          <w:lang w:eastAsia="en-GB"/>
        </w:rPr>
        <w:t>Golombek, R., Brekke, K. A., and Kittelsen, S. A. C. (2013) Is electricity more important than natural gas? Partial liberalizations of the Western European energy markets. </w:t>
      </w:r>
      <w:r w:rsidRPr="00E4318C">
        <w:rPr>
          <w:i/>
          <w:iCs/>
          <w:lang w:eastAsia="en-GB"/>
        </w:rPr>
        <w:t>Economic Modelling</w:t>
      </w:r>
      <w:r w:rsidRPr="00E4318C">
        <w:rPr>
          <w:lang w:eastAsia="en-GB"/>
        </w:rPr>
        <w:t xml:space="preserve"> 35, (1) 99–111. </w:t>
      </w:r>
      <w:hyperlink r:id="rId27" w:history="1">
        <w:r w:rsidR="00086E2E" w:rsidRPr="004C7B26">
          <w:rPr>
            <w:rStyle w:val="Hyperlink"/>
            <w:i/>
            <w:lang w:eastAsia="en-GB"/>
          </w:rPr>
          <w:t>https://doi.org/10.1016/j.econmod.2013.06.023</w:t>
        </w:r>
      </w:hyperlink>
      <w:r w:rsidR="00086E2E">
        <w:rPr>
          <w:lang w:eastAsia="en-GB"/>
        </w:rPr>
        <w:t xml:space="preserve"> </w:t>
      </w:r>
      <w:r w:rsidRPr="00E4318C">
        <w:rPr>
          <w:lang w:eastAsia="en-GB"/>
        </w:rPr>
        <w:t>[Accessed February 21, 2021]</w:t>
      </w:r>
      <w:r w:rsidR="00086E2E">
        <w:rPr>
          <w:lang w:eastAsia="en-GB"/>
        </w:rPr>
        <w:t>.</w:t>
      </w:r>
    </w:p>
    <w:p w14:paraId="2D83541F" w14:textId="2B4CCD18" w:rsidR="00E4318C" w:rsidRPr="00E4318C" w:rsidRDefault="00E4318C" w:rsidP="00765F29">
      <w:pPr>
        <w:spacing w:line="240" w:lineRule="auto"/>
        <w:rPr>
          <w:lang w:eastAsia="en-GB"/>
        </w:rPr>
      </w:pPr>
      <w:r w:rsidRPr="00E4318C">
        <w:rPr>
          <w:lang w:eastAsia="en-GB"/>
        </w:rPr>
        <w:lastRenderedPageBreak/>
        <w:t>Griffin, J. (2020) Electricity Production in the UK.</w:t>
      </w:r>
      <w:r w:rsidRPr="00E4318C">
        <w:rPr>
          <w:i/>
          <w:iCs/>
          <w:lang w:eastAsia="en-GB"/>
        </w:rPr>
        <w:t> IBISWorld. </w:t>
      </w:r>
      <w:r w:rsidRPr="00E4318C">
        <w:rPr>
          <w:lang w:eastAsia="en-GB"/>
        </w:rPr>
        <w:t>Available at: </w:t>
      </w:r>
      <w:hyperlink r:id="rId28" w:history="1">
        <w:r w:rsidR="00086E2E" w:rsidRPr="004C7B26">
          <w:rPr>
            <w:rStyle w:val="Hyperlink"/>
            <w:i/>
            <w:iCs/>
            <w:lang w:eastAsia="en-GB"/>
          </w:rPr>
          <w:t>https://my-ibisworld-com.winchester.idm.oclc.org/uk/en/industry/d35.110/about</w:t>
        </w:r>
      </w:hyperlink>
      <w:r w:rsidR="00086E2E">
        <w:rPr>
          <w:i/>
          <w:iCs/>
          <w:lang w:eastAsia="en-GB"/>
        </w:rPr>
        <w:t xml:space="preserve"> </w:t>
      </w:r>
      <w:r w:rsidRPr="00E4318C">
        <w:rPr>
          <w:i/>
          <w:iCs/>
          <w:lang w:eastAsia="en-GB"/>
        </w:rPr>
        <w:t> </w:t>
      </w:r>
      <w:r w:rsidRPr="00E4318C">
        <w:rPr>
          <w:lang w:eastAsia="en-GB"/>
        </w:rPr>
        <w:t>[Accessed 16 February 2021].</w:t>
      </w:r>
    </w:p>
    <w:p w14:paraId="004490A5" w14:textId="6B03B8AE" w:rsidR="005B7B2D" w:rsidRDefault="005B7B2D" w:rsidP="00765F29">
      <w:pPr>
        <w:spacing w:line="240" w:lineRule="auto"/>
        <w:rPr>
          <w:lang w:eastAsia="en-GB"/>
        </w:rPr>
      </w:pPr>
      <w:r w:rsidRPr="005B7B2D">
        <w:rPr>
          <w:lang w:eastAsia="en-GB"/>
        </w:rPr>
        <w:t>Grubb, M., Butler, L., and Twomey, P. (2006) Diversity and security in UK electricity</w:t>
      </w:r>
      <w:r>
        <w:rPr>
          <w:lang w:eastAsia="en-GB"/>
        </w:rPr>
        <w:t xml:space="preserve"> </w:t>
      </w:r>
      <w:r w:rsidRPr="005B7B2D">
        <w:rPr>
          <w:lang w:eastAsia="en-GB"/>
        </w:rPr>
        <w:t xml:space="preserve">generation: The influence of low-carbon objectives. </w:t>
      </w:r>
      <w:r w:rsidRPr="005B7B2D">
        <w:rPr>
          <w:i/>
          <w:iCs/>
          <w:lang w:eastAsia="en-GB"/>
        </w:rPr>
        <w:t>Energy Policy</w:t>
      </w:r>
      <w:r w:rsidRPr="005B7B2D">
        <w:rPr>
          <w:lang w:eastAsia="en-GB"/>
        </w:rPr>
        <w:t xml:space="preserve"> 34, (18) 4050–4062. </w:t>
      </w:r>
      <w:r w:rsidR="00086E2E">
        <w:rPr>
          <w:lang w:eastAsia="en-GB"/>
        </w:rPr>
        <w:t xml:space="preserve">Available at: </w:t>
      </w:r>
      <w:hyperlink r:id="rId29" w:history="1">
        <w:r w:rsidR="00086E2E" w:rsidRPr="004C7B26">
          <w:rPr>
            <w:rStyle w:val="Hyperlink"/>
            <w:i/>
            <w:lang w:eastAsia="en-GB"/>
          </w:rPr>
          <w:t>https://doi.org/10.1016/j.enpol.2005.09.004</w:t>
        </w:r>
      </w:hyperlink>
      <w:r w:rsidR="00086E2E">
        <w:rPr>
          <w:lang w:eastAsia="en-GB"/>
        </w:rPr>
        <w:t xml:space="preserve"> </w:t>
      </w:r>
      <w:r w:rsidRPr="005B7B2D">
        <w:rPr>
          <w:lang w:eastAsia="en-GB"/>
        </w:rPr>
        <w:t>[Accessed February 18, 2021]</w:t>
      </w:r>
      <w:r w:rsidR="00086E2E">
        <w:rPr>
          <w:lang w:eastAsia="en-GB"/>
        </w:rPr>
        <w:t>.</w:t>
      </w:r>
    </w:p>
    <w:p w14:paraId="08D0CD98" w14:textId="06113EE9" w:rsidR="00345722" w:rsidRDefault="00345722" w:rsidP="00765F29">
      <w:pPr>
        <w:spacing w:line="240" w:lineRule="auto"/>
        <w:rPr>
          <w:lang w:eastAsia="en-GB"/>
        </w:rPr>
      </w:pPr>
      <w:r>
        <w:rPr>
          <w:lang w:eastAsia="en-GB"/>
        </w:rPr>
        <w:t xml:space="preserve">Grubb, M., Newbery, D. (2018) </w:t>
      </w:r>
      <w:r w:rsidRPr="00345722">
        <w:rPr>
          <w:lang w:eastAsia="en-GB"/>
        </w:rPr>
        <w:t>UK Electricity Market Reform and the Energy Transition: Emerging Lessons</w:t>
      </w:r>
      <w:r>
        <w:rPr>
          <w:lang w:eastAsia="en-GB"/>
        </w:rPr>
        <w:t xml:space="preserve">. </w:t>
      </w:r>
      <w:r>
        <w:rPr>
          <w:i/>
          <w:iCs/>
          <w:lang w:eastAsia="en-GB"/>
        </w:rPr>
        <w:t xml:space="preserve">The Energy Journal, </w:t>
      </w:r>
      <w:r w:rsidR="00D4683D">
        <w:rPr>
          <w:lang w:eastAsia="en-GB"/>
        </w:rPr>
        <w:t>39 (6)</w:t>
      </w:r>
      <w:r w:rsidR="000A4E17">
        <w:rPr>
          <w:lang w:eastAsia="en-GB"/>
        </w:rPr>
        <w:t xml:space="preserve">. Available at: </w:t>
      </w:r>
      <w:hyperlink r:id="rId30" w:history="1">
        <w:r w:rsidR="00B40FED" w:rsidRPr="00734E64">
          <w:rPr>
            <w:rStyle w:val="Hyperlink"/>
            <w:i/>
            <w:iCs/>
            <w:lang w:eastAsia="en-GB"/>
          </w:rPr>
          <w:t>https://doi.org/10.5547/01956574.39.6.mgru</w:t>
        </w:r>
      </w:hyperlink>
      <w:r w:rsidR="00B40FED">
        <w:rPr>
          <w:i/>
          <w:iCs/>
          <w:lang w:eastAsia="en-GB"/>
        </w:rPr>
        <w:t xml:space="preserve"> </w:t>
      </w:r>
      <w:r w:rsidR="00B40FED">
        <w:rPr>
          <w:lang w:eastAsia="en-GB"/>
        </w:rPr>
        <w:t>[Accessed 25 March 2021].</w:t>
      </w:r>
    </w:p>
    <w:p w14:paraId="5EA71BA7" w14:textId="3A672208" w:rsidR="00A715EB" w:rsidRPr="00F75D3F" w:rsidRDefault="00A715EB" w:rsidP="00765F29">
      <w:pPr>
        <w:spacing w:line="240" w:lineRule="auto"/>
        <w:rPr>
          <w:lang w:eastAsia="en-GB"/>
        </w:rPr>
      </w:pPr>
      <w:r>
        <w:rPr>
          <w:lang w:eastAsia="en-GB"/>
        </w:rPr>
        <w:t xml:space="preserve">Harjoto, M.A. and Jo, H. (2011) </w:t>
      </w:r>
      <w:r w:rsidR="009C72BA" w:rsidRPr="009C72BA">
        <w:rPr>
          <w:lang w:eastAsia="en-GB"/>
        </w:rPr>
        <w:t>Corporate Governance and CSR Nexus</w:t>
      </w:r>
      <w:r w:rsidR="009C72BA">
        <w:rPr>
          <w:lang w:eastAsia="en-GB"/>
        </w:rPr>
        <w:t xml:space="preserve">. </w:t>
      </w:r>
      <w:r w:rsidR="009C72BA">
        <w:rPr>
          <w:i/>
          <w:iCs/>
          <w:lang w:eastAsia="en-GB"/>
        </w:rPr>
        <w:t xml:space="preserve">Journal of Business Ethics, </w:t>
      </w:r>
      <w:r w:rsidR="009C72BA">
        <w:rPr>
          <w:lang w:eastAsia="en-GB"/>
        </w:rPr>
        <w:t xml:space="preserve">100, 45-67. Available at: </w:t>
      </w:r>
      <w:hyperlink r:id="rId31" w:history="1">
        <w:r w:rsidR="00F75D3F" w:rsidRPr="00616B35">
          <w:rPr>
            <w:rStyle w:val="Hyperlink"/>
            <w:i/>
            <w:iCs/>
            <w:lang w:eastAsia="en-GB"/>
          </w:rPr>
          <w:t>https://doi.org/10.1007/s10551-011-0772-6</w:t>
        </w:r>
      </w:hyperlink>
      <w:r w:rsidR="00F75D3F">
        <w:rPr>
          <w:i/>
          <w:iCs/>
          <w:lang w:eastAsia="en-GB"/>
        </w:rPr>
        <w:t xml:space="preserve"> </w:t>
      </w:r>
      <w:r w:rsidR="00F75D3F">
        <w:rPr>
          <w:lang w:eastAsia="en-GB"/>
        </w:rPr>
        <w:t>[Accessed 25 March 2021].</w:t>
      </w:r>
    </w:p>
    <w:p w14:paraId="48C46389" w14:textId="5B37D2C4" w:rsidR="00BD1EF8" w:rsidRPr="0022384B" w:rsidRDefault="00BD1EF8" w:rsidP="00765F29">
      <w:pPr>
        <w:spacing w:line="240" w:lineRule="auto"/>
        <w:rPr>
          <w:lang w:eastAsia="en-GB"/>
        </w:rPr>
      </w:pPr>
      <w:r>
        <w:rPr>
          <w:lang w:eastAsia="en-GB"/>
        </w:rPr>
        <w:t xml:space="preserve">Harries, T., Rettie, R., Studley, M., Burchell, K. and Chambers, S. (2013) </w:t>
      </w:r>
      <w:r w:rsidR="002D7538" w:rsidRPr="002D7538">
        <w:rPr>
          <w:lang w:eastAsia="en-GB"/>
        </w:rPr>
        <w:t>Is social norms marketing effective? A case study in domestic electricity consumption</w:t>
      </w:r>
      <w:r w:rsidR="002D7538">
        <w:rPr>
          <w:lang w:eastAsia="en-GB"/>
        </w:rPr>
        <w:t xml:space="preserve">. </w:t>
      </w:r>
      <w:r w:rsidR="002D7538">
        <w:rPr>
          <w:i/>
          <w:iCs/>
          <w:lang w:eastAsia="en-GB"/>
        </w:rPr>
        <w:t xml:space="preserve">European Journal of Marketing, </w:t>
      </w:r>
      <w:r w:rsidR="002D7538">
        <w:rPr>
          <w:lang w:eastAsia="en-GB"/>
        </w:rPr>
        <w:t xml:space="preserve">47 (9), 1458-1475. Available at: </w:t>
      </w:r>
      <w:hyperlink r:id="rId32" w:history="1">
        <w:r w:rsidR="0022384B" w:rsidRPr="00332B5D">
          <w:rPr>
            <w:rStyle w:val="Hyperlink"/>
            <w:i/>
            <w:iCs/>
            <w:lang w:eastAsia="en-GB"/>
          </w:rPr>
          <w:t>https://doi.org/10.1108/EJM-10-2011-0568</w:t>
        </w:r>
      </w:hyperlink>
      <w:r w:rsidR="0022384B">
        <w:rPr>
          <w:i/>
          <w:iCs/>
          <w:lang w:eastAsia="en-GB"/>
        </w:rPr>
        <w:t xml:space="preserve"> </w:t>
      </w:r>
      <w:r w:rsidR="0022384B">
        <w:rPr>
          <w:lang w:eastAsia="en-GB"/>
        </w:rPr>
        <w:t>[Accessed 22 March 2021].</w:t>
      </w:r>
    </w:p>
    <w:p w14:paraId="48D5A5A6" w14:textId="02C67F73" w:rsidR="002A40AF" w:rsidRPr="004572D4" w:rsidRDefault="002A40AF" w:rsidP="00765F29">
      <w:pPr>
        <w:spacing w:line="240" w:lineRule="auto"/>
        <w:rPr>
          <w:lang w:eastAsia="en-GB"/>
        </w:rPr>
      </w:pPr>
      <w:r>
        <w:rPr>
          <w:lang w:eastAsia="en-GB"/>
        </w:rPr>
        <w:t xml:space="preserve">Herbes, C. and Ramme, I. (2014) </w:t>
      </w:r>
      <w:r w:rsidR="004572D4" w:rsidRPr="004572D4">
        <w:rPr>
          <w:lang w:eastAsia="en-GB"/>
        </w:rPr>
        <w:t>Online marketing of green electricity in Germany—A content analysis of providers’ websites</w:t>
      </w:r>
      <w:r w:rsidR="004572D4">
        <w:rPr>
          <w:lang w:eastAsia="en-GB"/>
        </w:rPr>
        <w:t xml:space="preserve">. </w:t>
      </w:r>
      <w:r w:rsidR="004572D4">
        <w:rPr>
          <w:i/>
          <w:iCs/>
          <w:lang w:eastAsia="en-GB"/>
        </w:rPr>
        <w:t xml:space="preserve">Energy Policy, </w:t>
      </w:r>
      <w:r w:rsidR="004572D4">
        <w:rPr>
          <w:lang w:eastAsia="en-GB"/>
        </w:rPr>
        <w:t xml:space="preserve">66, 257-266. Available at: </w:t>
      </w:r>
      <w:hyperlink r:id="rId33" w:history="1">
        <w:r w:rsidR="004572D4" w:rsidRPr="00332B5D">
          <w:rPr>
            <w:rStyle w:val="Hyperlink"/>
            <w:i/>
            <w:iCs/>
            <w:lang w:eastAsia="en-GB"/>
          </w:rPr>
          <w:t>https://doi.org/10.1016/j.enpol.2013.10.083</w:t>
        </w:r>
      </w:hyperlink>
      <w:r w:rsidR="004572D4">
        <w:rPr>
          <w:i/>
          <w:iCs/>
          <w:lang w:eastAsia="en-GB"/>
        </w:rPr>
        <w:t xml:space="preserve"> </w:t>
      </w:r>
      <w:r w:rsidR="004572D4">
        <w:rPr>
          <w:lang w:eastAsia="en-GB"/>
        </w:rPr>
        <w:t>[Accessed 25 March 2021].</w:t>
      </w:r>
    </w:p>
    <w:p w14:paraId="223EF790" w14:textId="3ED825D6" w:rsidR="00E4318C" w:rsidRPr="00E4318C" w:rsidRDefault="00E4318C" w:rsidP="00765F29">
      <w:pPr>
        <w:spacing w:line="240" w:lineRule="auto"/>
        <w:rPr>
          <w:lang w:eastAsia="en-GB"/>
        </w:rPr>
      </w:pPr>
      <w:r w:rsidRPr="00E4318C">
        <w:rPr>
          <w:lang w:eastAsia="en-GB"/>
        </w:rPr>
        <w:t xml:space="preserve">HM Government Climate Change Act 2008. (2008). Available at: </w:t>
      </w:r>
      <w:hyperlink r:id="rId34" w:history="1">
        <w:r w:rsidR="00086E2E" w:rsidRPr="004C7B26">
          <w:rPr>
            <w:rStyle w:val="Hyperlink"/>
            <w:i/>
            <w:lang w:eastAsia="en-GB"/>
          </w:rPr>
          <w:t>http://www.legislation.gov.uk/ukpga/2008/27/pdfs/ukpga_20080027_en.pdf</w:t>
        </w:r>
      </w:hyperlink>
      <w:r w:rsidR="00086E2E">
        <w:rPr>
          <w:i/>
          <w:lang w:eastAsia="en-GB"/>
        </w:rPr>
        <w:t xml:space="preserve"> </w:t>
      </w:r>
      <w:r w:rsidRPr="00E4318C">
        <w:rPr>
          <w:lang w:eastAsia="en-GB"/>
        </w:rPr>
        <w:t xml:space="preserve"> [Accessed February 17, 2021]</w:t>
      </w:r>
      <w:r w:rsidR="00086E2E">
        <w:rPr>
          <w:lang w:eastAsia="en-GB"/>
        </w:rPr>
        <w:t>.</w:t>
      </w:r>
    </w:p>
    <w:p w14:paraId="64AC2208" w14:textId="7D3607FB" w:rsidR="00E4318C" w:rsidRPr="00776ABD" w:rsidRDefault="00E4318C" w:rsidP="00765F29">
      <w:pPr>
        <w:spacing w:line="240" w:lineRule="auto"/>
        <w:rPr>
          <w:lang w:eastAsia="en-GB"/>
        </w:rPr>
      </w:pPr>
      <w:r w:rsidRPr="00E4318C">
        <w:rPr>
          <w:lang w:eastAsia="en-GB"/>
        </w:rPr>
        <w:t>International Energy Agency (2019) Energy Policies of IEA Countries: United Kingdom 2019 Review – Analysis. </w:t>
      </w:r>
      <w:r w:rsidRPr="00E4318C">
        <w:rPr>
          <w:i/>
          <w:iCs/>
          <w:lang w:eastAsia="en-GB"/>
        </w:rPr>
        <w:t>IEA</w:t>
      </w:r>
      <w:r w:rsidRPr="00E4318C">
        <w:rPr>
          <w:lang w:eastAsia="en-GB"/>
        </w:rPr>
        <w:t xml:space="preserve">. Available at: </w:t>
      </w:r>
      <w:hyperlink r:id="rId35" w:history="1">
        <w:r w:rsidR="00086E2E" w:rsidRPr="00776ABD">
          <w:rPr>
            <w:rStyle w:val="Hyperlink"/>
            <w:i/>
            <w:lang w:eastAsia="en-GB"/>
          </w:rPr>
          <w:t>https://www.iea.org/reports/energy-policies-of-iea-countries-united-kingdom-2019-review</w:t>
        </w:r>
      </w:hyperlink>
      <w:r w:rsidR="00086E2E" w:rsidRPr="00776ABD">
        <w:rPr>
          <w:i/>
          <w:lang w:eastAsia="en-GB"/>
        </w:rPr>
        <w:t xml:space="preserve"> </w:t>
      </w:r>
      <w:r w:rsidRPr="00776ABD">
        <w:rPr>
          <w:lang w:eastAsia="en-GB"/>
        </w:rPr>
        <w:t xml:space="preserve"> [Accessed February 17, 2021]</w:t>
      </w:r>
      <w:r w:rsidR="00086E2E" w:rsidRPr="00776ABD">
        <w:rPr>
          <w:lang w:eastAsia="en-GB"/>
        </w:rPr>
        <w:t>.</w:t>
      </w:r>
    </w:p>
    <w:p w14:paraId="6C77234B" w14:textId="77777777" w:rsidR="007E40BD" w:rsidRPr="00776ABD" w:rsidRDefault="007E40BD" w:rsidP="00765F29">
      <w:pPr>
        <w:spacing w:line="240" w:lineRule="auto"/>
      </w:pPr>
      <w:r w:rsidRPr="00776ABD">
        <w:t xml:space="preserve">Jamasb, T. and Pollitt, M.G. (2011) Electricity sector liberalisation and innovation: An analysis of the UK's patenting activities. </w:t>
      </w:r>
      <w:r w:rsidRPr="00776ABD">
        <w:rPr>
          <w:i/>
          <w:iCs/>
        </w:rPr>
        <w:t>Research Policy</w:t>
      </w:r>
      <w:r w:rsidRPr="00776ABD">
        <w:t xml:space="preserve">, 40, (2), 309-324. Available at: </w:t>
      </w:r>
      <w:hyperlink r:id="rId36" w:history="1">
        <w:r w:rsidRPr="00776ABD">
          <w:rPr>
            <w:rStyle w:val="Hyperlink"/>
            <w:i/>
            <w:iCs/>
          </w:rPr>
          <w:t>https://doi.org/10.1016/j.respol.2010.10.010</w:t>
        </w:r>
      </w:hyperlink>
      <w:r w:rsidRPr="00776ABD">
        <w:rPr>
          <w:i/>
          <w:iCs/>
        </w:rPr>
        <w:t xml:space="preserve"> </w:t>
      </w:r>
      <w:r w:rsidRPr="00776ABD">
        <w:t>[Accessed 17 February 2021].</w:t>
      </w:r>
    </w:p>
    <w:p w14:paraId="1CDD2F95" w14:textId="163A5E5E" w:rsidR="007E40BD" w:rsidRPr="00776ABD" w:rsidRDefault="00776ABD" w:rsidP="00765F29">
      <w:pPr>
        <w:spacing w:line="240" w:lineRule="auto"/>
      </w:pPr>
      <w:r w:rsidRPr="00776ABD">
        <w:t xml:space="preserve">Jamasb, T. and Pollitt, M.G. (2015) Why and how to subsidise energy R+D: Lessons from the collapse and recovery of electricity innovation in the UK. </w:t>
      </w:r>
      <w:r w:rsidRPr="00776ABD">
        <w:rPr>
          <w:i/>
          <w:iCs/>
        </w:rPr>
        <w:t xml:space="preserve">Energy Policy, </w:t>
      </w:r>
      <w:r w:rsidRPr="00776ABD">
        <w:t xml:space="preserve">83, 197-205. Available at: </w:t>
      </w:r>
      <w:hyperlink r:id="rId37" w:history="1">
        <w:r w:rsidRPr="00776ABD">
          <w:rPr>
            <w:rStyle w:val="Hyperlink"/>
            <w:i/>
            <w:iCs/>
          </w:rPr>
          <w:t>https://doi.org/10.1016/j.enpol.2015.01.041</w:t>
        </w:r>
      </w:hyperlink>
      <w:r w:rsidRPr="00776ABD">
        <w:rPr>
          <w:i/>
          <w:iCs/>
        </w:rPr>
        <w:t xml:space="preserve"> </w:t>
      </w:r>
      <w:r w:rsidRPr="00776ABD">
        <w:t>[Accessed 17 February 2021].</w:t>
      </w:r>
    </w:p>
    <w:p w14:paraId="3AA27B20" w14:textId="0FA83EA1" w:rsidR="00E4318C" w:rsidRDefault="00E4318C" w:rsidP="00765F29">
      <w:pPr>
        <w:spacing w:line="240" w:lineRule="auto"/>
        <w:rPr>
          <w:lang w:eastAsia="en-GB"/>
        </w:rPr>
      </w:pPr>
      <w:r w:rsidRPr="00E4318C">
        <w:rPr>
          <w:lang w:eastAsia="en-GB"/>
        </w:rPr>
        <w:t>Johnson, V., and Hall, S. (2014) Community energy and equity: The distributional implications of a transition to a decentralised electricity system. </w:t>
      </w:r>
      <w:r w:rsidRPr="00E4318C">
        <w:rPr>
          <w:i/>
          <w:iCs/>
          <w:lang w:eastAsia="en-GB"/>
        </w:rPr>
        <w:t>People, Place and Policy Online</w:t>
      </w:r>
      <w:r w:rsidRPr="00E4318C">
        <w:rPr>
          <w:lang w:eastAsia="en-GB"/>
        </w:rPr>
        <w:t xml:space="preserve"> 8, (3) 149–167. </w:t>
      </w:r>
      <w:r w:rsidR="00086E2E">
        <w:rPr>
          <w:lang w:eastAsia="en-GB"/>
        </w:rPr>
        <w:t xml:space="preserve">Available at: </w:t>
      </w:r>
      <w:hyperlink r:id="rId38" w:history="1">
        <w:r w:rsidR="00086E2E" w:rsidRPr="004C7B26">
          <w:rPr>
            <w:rStyle w:val="Hyperlink"/>
            <w:i/>
            <w:lang w:eastAsia="en-GB"/>
          </w:rPr>
          <w:t>https://doi.org/10.3351/ppp.0008.0003.0002</w:t>
        </w:r>
      </w:hyperlink>
      <w:r w:rsidR="00086E2E">
        <w:rPr>
          <w:lang w:eastAsia="en-GB"/>
        </w:rPr>
        <w:t xml:space="preserve"> </w:t>
      </w:r>
      <w:r w:rsidRPr="00E4318C">
        <w:rPr>
          <w:lang w:eastAsia="en-GB"/>
        </w:rPr>
        <w:t>[Accessed February 20, 2021]</w:t>
      </w:r>
      <w:r w:rsidR="00086E2E">
        <w:rPr>
          <w:lang w:eastAsia="en-GB"/>
        </w:rPr>
        <w:t>.</w:t>
      </w:r>
    </w:p>
    <w:p w14:paraId="44775C36" w14:textId="5A291CF7" w:rsidR="00250130" w:rsidRPr="005E6B23" w:rsidRDefault="00250130" w:rsidP="00765F29">
      <w:pPr>
        <w:spacing w:line="240" w:lineRule="auto"/>
        <w:rPr>
          <w:lang w:eastAsia="en-GB"/>
        </w:rPr>
      </w:pPr>
      <w:r>
        <w:rPr>
          <w:lang w:eastAsia="en-GB"/>
        </w:rPr>
        <w:t xml:space="preserve">Kornieieva, Y. (2020) </w:t>
      </w:r>
      <w:r w:rsidRPr="00250130">
        <w:rPr>
          <w:lang w:eastAsia="en-GB"/>
        </w:rPr>
        <w:t xml:space="preserve">Non-financial reporting challenges in monitoring SDG`s </w:t>
      </w:r>
      <w:r w:rsidR="000C0D5A" w:rsidRPr="00250130">
        <w:rPr>
          <w:lang w:eastAsia="en-GB"/>
        </w:rPr>
        <w:t>achievement:</w:t>
      </w:r>
      <w:r w:rsidRPr="00250130">
        <w:rPr>
          <w:lang w:eastAsia="en-GB"/>
        </w:rPr>
        <w:t xml:space="preserve"> investment aspects for transition economy</w:t>
      </w:r>
      <w:r>
        <w:rPr>
          <w:lang w:eastAsia="en-GB"/>
        </w:rPr>
        <w:t xml:space="preserve">. </w:t>
      </w:r>
      <w:r w:rsidR="005E6B23">
        <w:rPr>
          <w:i/>
          <w:lang w:eastAsia="en-GB"/>
        </w:rPr>
        <w:t xml:space="preserve">International Journal of Economics and Business Administration, </w:t>
      </w:r>
      <w:r w:rsidR="005E6B23">
        <w:rPr>
          <w:lang w:eastAsia="en-GB"/>
        </w:rPr>
        <w:t xml:space="preserve">8 (1), 62-71. Available at: </w:t>
      </w:r>
      <w:hyperlink r:id="rId39" w:history="1">
        <w:r w:rsidR="005E6B23" w:rsidRPr="00A634F3">
          <w:rPr>
            <w:rStyle w:val="Hyperlink"/>
            <w:i/>
            <w:lang w:eastAsia="en-GB"/>
          </w:rPr>
          <w:t>https://www.um.edu.mt/library/oar/handle/123456789/53881</w:t>
        </w:r>
      </w:hyperlink>
      <w:r w:rsidR="005E6B23">
        <w:rPr>
          <w:i/>
          <w:lang w:eastAsia="en-GB"/>
        </w:rPr>
        <w:t xml:space="preserve"> </w:t>
      </w:r>
      <w:r w:rsidR="005E6B23">
        <w:rPr>
          <w:lang w:eastAsia="en-GB"/>
        </w:rPr>
        <w:t>[Accessed 23 March 2021].</w:t>
      </w:r>
    </w:p>
    <w:p w14:paraId="11C41BF1" w14:textId="1206181D" w:rsidR="00CD4C4B" w:rsidRDefault="00CD4C4B" w:rsidP="00765F29">
      <w:pPr>
        <w:spacing w:line="240" w:lineRule="auto"/>
        <w:rPr>
          <w:lang w:eastAsia="en-GB"/>
        </w:rPr>
      </w:pPr>
      <w:r>
        <w:rPr>
          <w:lang w:eastAsia="en-GB"/>
        </w:rPr>
        <w:lastRenderedPageBreak/>
        <w:t xml:space="preserve">Kotler, P., Piercy, N., Harris, L.C. and Armstrong, G. (2013) </w:t>
      </w:r>
      <w:r w:rsidRPr="00CD4C4B">
        <w:rPr>
          <w:i/>
          <w:iCs/>
          <w:lang w:eastAsia="en-GB"/>
        </w:rPr>
        <w:t>Principles of marketing</w:t>
      </w:r>
      <w:r>
        <w:rPr>
          <w:i/>
          <w:iCs/>
          <w:lang w:eastAsia="en-GB"/>
        </w:rPr>
        <w:t xml:space="preserve">. </w:t>
      </w:r>
      <w:r>
        <w:rPr>
          <w:lang w:eastAsia="en-GB"/>
        </w:rPr>
        <w:t xml:space="preserve">Harlow: Pearson. </w:t>
      </w:r>
    </w:p>
    <w:p w14:paraId="0ED7DBFE" w14:textId="18B856FB" w:rsidR="00950E37" w:rsidRPr="007A1C66" w:rsidRDefault="00950E37" w:rsidP="00765F29">
      <w:pPr>
        <w:spacing w:line="240" w:lineRule="auto"/>
        <w:rPr>
          <w:lang w:eastAsia="en-GB"/>
        </w:rPr>
      </w:pPr>
      <w:r>
        <w:rPr>
          <w:lang w:eastAsia="en-GB"/>
        </w:rPr>
        <w:t xml:space="preserve">Kowal, B. and Kustra, A. (2016) Sustainability Reporting in the Energy Sector. </w:t>
      </w:r>
      <w:r w:rsidR="00B32279" w:rsidRPr="00B32279">
        <w:rPr>
          <w:i/>
          <w:iCs/>
          <w:lang w:eastAsia="en-GB"/>
        </w:rPr>
        <w:t>1</w:t>
      </w:r>
      <w:r w:rsidR="00B32279" w:rsidRPr="00B32279">
        <w:rPr>
          <w:i/>
          <w:iCs/>
          <w:vertAlign w:val="superscript"/>
          <w:lang w:eastAsia="en-GB"/>
        </w:rPr>
        <w:t>st</w:t>
      </w:r>
      <w:r w:rsidR="00B32279" w:rsidRPr="00B32279">
        <w:rPr>
          <w:i/>
          <w:iCs/>
          <w:lang w:eastAsia="en-GB"/>
        </w:rPr>
        <w:t> International Conference on the Sustainable Energy and Environment Development</w:t>
      </w:r>
      <w:r w:rsidR="00B32279">
        <w:rPr>
          <w:i/>
          <w:iCs/>
          <w:lang w:eastAsia="en-GB"/>
        </w:rPr>
        <w:t xml:space="preserve">, </w:t>
      </w:r>
      <w:r w:rsidR="00ED2B6A" w:rsidRPr="00ED2B6A">
        <w:rPr>
          <w:lang w:eastAsia="en-GB"/>
        </w:rPr>
        <w:t>E3S Web of Conferences 10</w:t>
      </w:r>
      <w:r w:rsidR="00B2519B">
        <w:rPr>
          <w:lang w:eastAsia="en-GB"/>
        </w:rPr>
        <w:t xml:space="preserve">. Available at: </w:t>
      </w:r>
      <w:hyperlink r:id="rId40" w:history="1">
        <w:r w:rsidR="007A1C66" w:rsidRPr="00B871C4">
          <w:rPr>
            <w:rStyle w:val="Hyperlink"/>
            <w:i/>
            <w:iCs/>
            <w:lang w:eastAsia="en-GB"/>
          </w:rPr>
          <w:t>https://doi.org/10.1051/e3sconf/20161000129</w:t>
        </w:r>
      </w:hyperlink>
      <w:r w:rsidR="007A1C66">
        <w:rPr>
          <w:i/>
          <w:iCs/>
          <w:lang w:eastAsia="en-GB"/>
        </w:rPr>
        <w:t xml:space="preserve"> </w:t>
      </w:r>
      <w:r w:rsidR="007A1C66">
        <w:rPr>
          <w:lang w:eastAsia="en-GB"/>
        </w:rPr>
        <w:t>[Accessed 24 March 2021].</w:t>
      </w:r>
    </w:p>
    <w:p w14:paraId="065A5BE3" w14:textId="68EA9E20" w:rsidR="00E4318C" w:rsidRDefault="00E4318C" w:rsidP="00765F29">
      <w:pPr>
        <w:spacing w:line="240" w:lineRule="auto"/>
        <w:rPr>
          <w:lang w:eastAsia="en-GB"/>
        </w:rPr>
      </w:pPr>
      <w:r w:rsidRPr="00E4318C">
        <w:rPr>
          <w:lang w:eastAsia="en-GB"/>
        </w:rPr>
        <w:t>Legislation.gov.uk (/2018) Understanding Legislation. </w:t>
      </w:r>
      <w:r w:rsidRPr="00E4318C">
        <w:rPr>
          <w:i/>
          <w:iCs/>
          <w:lang w:eastAsia="en-GB"/>
        </w:rPr>
        <w:t>Legislation.gov.uk</w:t>
      </w:r>
      <w:r w:rsidRPr="00E4318C">
        <w:rPr>
          <w:lang w:eastAsia="en-GB"/>
        </w:rPr>
        <w:t xml:space="preserve">. Available at: </w:t>
      </w:r>
      <w:hyperlink r:id="rId41" w:history="1">
        <w:r w:rsidR="00086E2E" w:rsidRPr="004C7B26">
          <w:rPr>
            <w:rStyle w:val="Hyperlink"/>
            <w:i/>
            <w:lang w:eastAsia="en-GB"/>
          </w:rPr>
          <w:t>https://www.legislation.gov.uk/understanding-legislation</w:t>
        </w:r>
      </w:hyperlink>
      <w:r w:rsidR="00086E2E">
        <w:rPr>
          <w:i/>
          <w:lang w:eastAsia="en-GB"/>
        </w:rPr>
        <w:t xml:space="preserve"> </w:t>
      </w:r>
      <w:r w:rsidRPr="00E4318C">
        <w:rPr>
          <w:lang w:eastAsia="en-GB"/>
        </w:rPr>
        <w:t xml:space="preserve"> [Accessed February 16, 2021]</w:t>
      </w:r>
      <w:r w:rsidR="00086E2E">
        <w:rPr>
          <w:lang w:eastAsia="en-GB"/>
        </w:rPr>
        <w:t>.</w:t>
      </w:r>
    </w:p>
    <w:p w14:paraId="0BC1252B" w14:textId="111F7EC7" w:rsidR="006B273E" w:rsidRPr="004B4F1D" w:rsidRDefault="006B273E" w:rsidP="00765F29">
      <w:pPr>
        <w:spacing w:line="240" w:lineRule="auto"/>
        <w:rPr>
          <w:lang w:eastAsia="en-GB"/>
        </w:rPr>
      </w:pPr>
      <w:r>
        <w:rPr>
          <w:lang w:eastAsia="en-GB"/>
        </w:rPr>
        <w:t>Levy, D.L., Brown, H.S. and de Jong, M. (20</w:t>
      </w:r>
      <w:r w:rsidR="008F110B">
        <w:rPr>
          <w:lang w:eastAsia="en-GB"/>
        </w:rPr>
        <w:t>10</w:t>
      </w:r>
      <w:r>
        <w:rPr>
          <w:lang w:eastAsia="en-GB"/>
        </w:rPr>
        <w:t xml:space="preserve">) </w:t>
      </w:r>
      <w:r w:rsidR="008F110B" w:rsidRPr="008F110B">
        <w:rPr>
          <w:lang w:eastAsia="en-GB"/>
        </w:rPr>
        <w:t>The Contested Politics of Corporate Governance: The Case of the Global Reporting Initiative</w:t>
      </w:r>
      <w:r w:rsidR="008F110B">
        <w:rPr>
          <w:lang w:eastAsia="en-GB"/>
        </w:rPr>
        <w:t xml:space="preserve">. </w:t>
      </w:r>
      <w:r w:rsidR="008F110B">
        <w:rPr>
          <w:i/>
          <w:iCs/>
          <w:lang w:eastAsia="en-GB"/>
        </w:rPr>
        <w:t xml:space="preserve">Business and Society, </w:t>
      </w:r>
      <w:r w:rsidR="008F110B">
        <w:rPr>
          <w:lang w:eastAsia="en-GB"/>
        </w:rPr>
        <w:t xml:space="preserve">49 (1), 88-115. Available at: </w:t>
      </w:r>
      <w:hyperlink r:id="rId42" w:history="1">
        <w:r w:rsidR="004B4F1D" w:rsidRPr="00B871C4">
          <w:rPr>
            <w:rStyle w:val="Hyperlink"/>
            <w:i/>
            <w:iCs/>
            <w:lang w:eastAsia="en-GB"/>
          </w:rPr>
          <w:t>https://doi.org/10.1177/0007650309345420</w:t>
        </w:r>
      </w:hyperlink>
      <w:r w:rsidR="004B4F1D">
        <w:rPr>
          <w:i/>
          <w:iCs/>
          <w:lang w:eastAsia="en-GB"/>
        </w:rPr>
        <w:t xml:space="preserve"> </w:t>
      </w:r>
      <w:r w:rsidR="004B4F1D">
        <w:rPr>
          <w:lang w:eastAsia="en-GB"/>
        </w:rPr>
        <w:t>[Accessed 25 March 2021].</w:t>
      </w:r>
    </w:p>
    <w:p w14:paraId="5383BE19" w14:textId="01AB19CD" w:rsidR="00E4318C" w:rsidRDefault="00E4318C" w:rsidP="00765F29">
      <w:pPr>
        <w:spacing w:line="240" w:lineRule="auto"/>
        <w:rPr>
          <w:lang w:eastAsia="en-GB"/>
        </w:rPr>
      </w:pPr>
      <w:r w:rsidRPr="00E4318C">
        <w:rPr>
          <w:lang w:eastAsia="en-GB"/>
        </w:rPr>
        <w:t>Matten, D., and Crane, A. (2005) Corporate Citizenship: Toward an Extended Theoretical Conceptualization. </w:t>
      </w:r>
      <w:r w:rsidRPr="00E4318C">
        <w:rPr>
          <w:i/>
          <w:iCs/>
          <w:lang w:eastAsia="en-GB"/>
        </w:rPr>
        <w:t>Academy of Management Review</w:t>
      </w:r>
      <w:r w:rsidRPr="00E4318C">
        <w:rPr>
          <w:lang w:eastAsia="en-GB"/>
        </w:rPr>
        <w:t xml:space="preserve"> 30, (1) 166–179. </w:t>
      </w:r>
      <w:r w:rsidR="00086E2E">
        <w:rPr>
          <w:lang w:eastAsia="en-GB"/>
        </w:rPr>
        <w:t xml:space="preserve">Available at: </w:t>
      </w:r>
      <w:hyperlink r:id="rId43" w:history="1">
        <w:r w:rsidR="00086E2E" w:rsidRPr="004C7B26">
          <w:rPr>
            <w:rStyle w:val="Hyperlink"/>
            <w:i/>
            <w:lang w:eastAsia="en-GB"/>
          </w:rPr>
          <w:t>https://doi.org/10.5465/amr.2005.15281448</w:t>
        </w:r>
      </w:hyperlink>
      <w:r w:rsidR="00086E2E">
        <w:rPr>
          <w:lang w:eastAsia="en-GB"/>
        </w:rPr>
        <w:t xml:space="preserve"> </w:t>
      </w:r>
      <w:r w:rsidRPr="00E4318C">
        <w:rPr>
          <w:lang w:eastAsia="en-GB"/>
        </w:rPr>
        <w:t>[Accessed February 19, 2021]</w:t>
      </w:r>
      <w:r w:rsidR="00086E2E">
        <w:rPr>
          <w:lang w:eastAsia="en-GB"/>
        </w:rPr>
        <w:t>.</w:t>
      </w:r>
    </w:p>
    <w:p w14:paraId="1C098838" w14:textId="7D9CE7A1" w:rsidR="004843BE" w:rsidRDefault="004843BE" w:rsidP="00765F29">
      <w:pPr>
        <w:spacing w:line="240" w:lineRule="auto"/>
        <w:rPr>
          <w:lang w:eastAsia="en-GB"/>
        </w:rPr>
      </w:pPr>
      <w:r>
        <w:rPr>
          <w:lang w:eastAsia="en-GB"/>
        </w:rPr>
        <w:t xml:space="preserve">McIntosh, M., Waddock, S. and Kell, G. </w:t>
      </w:r>
      <w:r w:rsidR="00716D86">
        <w:rPr>
          <w:lang w:eastAsia="en-GB"/>
        </w:rPr>
        <w:t xml:space="preserve">(eds.) </w:t>
      </w:r>
      <w:r>
        <w:rPr>
          <w:lang w:eastAsia="en-GB"/>
        </w:rPr>
        <w:t>(20</w:t>
      </w:r>
      <w:r w:rsidR="00716D86">
        <w:rPr>
          <w:lang w:eastAsia="en-GB"/>
        </w:rPr>
        <w:t xml:space="preserve">17) </w:t>
      </w:r>
      <w:r w:rsidR="00716D86">
        <w:rPr>
          <w:i/>
          <w:iCs/>
          <w:lang w:eastAsia="en-GB"/>
        </w:rPr>
        <w:t xml:space="preserve">Learning </w:t>
      </w:r>
      <w:r w:rsidR="005A36F5">
        <w:rPr>
          <w:i/>
          <w:iCs/>
          <w:lang w:eastAsia="en-GB"/>
        </w:rPr>
        <w:t>to</w:t>
      </w:r>
      <w:r w:rsidR="00716D86">
        <w:rPr>
          <w:i/>
          <w:iCs/>
          <w:lang w:eastAsia="en-GB"/>
        </w:rPr>
        <w:t xml:space="preserve"> Talk: Corporate Citizenship and the Develop</w:t>
      </w:r>
      <w:r w:rsidR="005A36F5">
        <w:rPr>
          <w:i/>
          <w:iCs/>
          <w:lang w:eastAsia="en-GB"/>
        </w:rPr>
        <w:t xml:space="preserve">ment of the UN Global Compact. </w:t>
      </w:r>
      <w:r w:rsidR="005A36F5">
        <w:rPr>
          <w:lang w:eastAsia="en-GB"/>
        </w:rPr>
        <w:t>Abingdon: Routledge.</w:t>
      </w:r>
    </w:p>
    <w:p w14:paraId="583B6D43" w14:textId="5285397D" w:rsidR="000C0D5A" w:rsidRPr="000C0D5A" w:rsidRDefault="000C0D5A" w:rsidP="00765F29">
      <w:pPr>
        <w:spacing w:line="240" w:lineRule="auto"/>
        <w:rPr>
          <w:lang w:eastAsia="en-GB"/>
        </w:rPr>
      </w:pPr>
      <w:r>
        <w:rPr>
          <w:lang w:eastAsia="en-GB"/>
        </w:rPr>
        <w:t xml:space="preserve">Phillips-Davies, A. (2020) Communication on Progress. </w:t>
      </w:r>
      <w:r>
        <w:rPr>
          <w:i/>
          <w:lang w:eastAsia="en-GB"/>
        </w:rPr>
        <w:t xml:space="preserve">SSE Plc. </w:t>
      </w:r>
      <w:r>
        <w:rPr>
          <w:lang w:eastAsia="en-GB"/>
        </w:rPr>
        <w:t xml:space="preserve">Available at: </w:t>
      </w:r>
      <w:hyperlink r:id="rId44" w:history="1">
        <w:r w:rsidRPr="00871854">
          <w:rPr>
            <w:rStyle w:val="Hyperlink"/>
            <w:i/>
            <w:lang w:eastAsia="en-GB"/>
          </w:rPr>
          <w:t>https://ungc-production.s3.us-west-2.amazonaws.com/attachments/cop_2020/488306/original/UNGC_communication_of_progress_August_2020.pdf?1598006632</w:t>
        </w:r>
      </w:hyperlink>
      <w:r>
        <w:rPr>
          <w:i/>
          <w:lang w:eastAsia="en-GB"/>
        </w:rPr>
        <w:t xml:space="preserve"> </w:t>
      </w:r>
      <w:r>
        <w:rPr>
          <w:lang w:eastAsia="en-GB"/>
        </w:rPr>
        <w:t>[Accessed 23 March 2021].</w:t>
      </w:r>
    </w:p>
    <w:p w14:paraId="2DC4D166" w14:textId="10831942" w:rsidR="0019483A" w:rsidRPr="00BB0F27" w:rsidRDefault="0019483A" w:rsidP="00765F29">
      <w:pPr>
        <w:spacing w:line="240" w:lineRule="auto"/>
        <w:rPr>
          <w:lang w:eastAsia="en-GB"/>
        </w:rPr>
      </w:pPr>
      <w:r>
        <w:rPr>
          <w:lang w:eastAsia="en-GB"/>
        </w:rPr>
        <w:t>Porter, M.E. and Kramer, M.R. (2011) Creating Shared Value</w:t>
      </w:r>
      <w:r w:rsidR="00BB0F27">
        <w:rPr>
          <w:lang w:eastAsia="en-GB"/>
        </w:rPr>
        <w:t xml:space="preserve">. </w:t>
      </w:r>
      <w:r w:rsidR="00BB0F27">
        <w:rPr>
          <w:i/>
          <w:lang w:eastAsia="en-GB"/>
        </w:rPr>
        <w:t>Harvard Business Review</w:t>
      </w:r>
      <w:r w:rsidR="00BB0F27">
        <w:rPr>
          <w:lang w:eastAsia="en-GB"/>
        </w:rPr>
        <w:t xml:space="preserve">, January-February 2011. Available at: </w:t>
      </w:r>
      <w:hyperlink r:id="rId45" w:history="1">
        <w:r w:rsidR="00BB0F27" w:rsidRPr="00A634F3">
          <w:rPr>
            <w:rStyle w:val="Hyperlink"/>
            <w:i/>
            <w:lang w:eastAsia="en-GB"/>
          </w:rPr>
          <w:t>http://ressources.aunege.fr/nuxeo/site/esupversions/c9c186ba-f7d5-4ebe-bd74-d375387f45e8/res/res.pdf</w:t>
        </w:r>
      </w:hyperlink>
      <w:r w:rsidR="00BB0F27">
        <w:rPr>
          <w:i/>
          <w:lang w:eastAsia="en-GB"/>
        </w:rPr>
        <w:t xml:space="preserve"> </w:t>
      </w:r>
      <w:r w:rsidR="00BB0F27">
        <w:rPr>
          <w:lang w:eastAsia="en-GB"/>
        </w:rPr>
        <w:t>[Accessed 20 March 2021].</w:t>
      </w:r>
    </w:p>
    <w:p w14:paraId="67B1EEA9" w14:textId="414BE292" w:rsidR="009B3A70" w:rsidRPr="0001575F" w:rsidRDefault="009B3A70" w:rsidP="00765F29">
      <w:pPr>
        <w:spacing w:line="240" w:lineRule="auto"/>
        <w:rPr>
          <w:lang w:eastAsia="en-GB"/>
        </w:rPr>
      </w:pPr>
      <w:r>
        <w:rPr>
          <w:lang w:eastAsia="en-GB"/>
        </w:rPr>
        <w:t xml:space="preserve">Rasche, A. (2009) </w:t>
      </w:r>
      <w:r w:rsidRPr="009B3A70">
        <w:rPr>
          <w:lang w:eastAsia="en-GB"/>
        </w:rPr>
        <w:t>“A Necessary Supplement”: What the United Nations Global Compact Is and Is Not</w:t>
      </w:r>
      <w:r>
        <w:rPr>
          <w:lang w:eastAsia="en-GB"/>
        </w:rPr>
        <w:t xml:space="preserve">. </w:t>
      </w:r>
      <w:r>
        <w:rPr>
          <w:i/>
          <w:lang w:eastAsia="en-GB"/>
        </w:rPr>
        <w:t>Business and S</w:t>
      </w:r>
      <w:r w:rsidR="0001575F">
        <w:rPr>
          <w:i/>
          <w:lang w:eastAsia="en-GB"/>
        </w:rPr>
        <w:t xml:space="preserve">ociety, </w:t>
      </w:r>
      <w:r w:rsidR="0001575F">
        <w:rPr>
          <w:lang w:eastAsia="en-GB"/>
        </w:rPr>
        <w:t xml:space="preserve">48 (4), 511-537. </w:t>
      </w:r>
      <w:r w:rsidR="0001575F" w:rsidRPr="0001575F">
        <w:rPr>
          <w:i/>
          <w:lang w:eastAsia="en-GB"/>
        </w:rPr>
        <w:t xml:space="preserve">Available at: </w:t>
      </w:r>
      <w:hyperlink r:id="rId46" w:history="1">
        <w:r w:rsidR="0001575F" w:rsidRPr="00871854">
          <w:rPr>
            <w:rStyle w:val="Hyperlink"/>
            <w:i/>
            <w:lang w:eastAsia="en-GB"/>
          </w:rPr>
          <w:t>https://doi.org/10.1177%2F0007650309332378</w:t>
        </w:r>
      </w:hyperlink>
      <w:r w:rsidR="0001575F">
        <w:rPr>
          <w:i/>
          <w:lang w:eastAsia="en-GB"/>
        </w:rPr>
        <w:t xml:space="preserve"> </w:t>
      </w:r>
      <w:r w:rsidR="0001575F">
        <w:rPr>
          <w:lang w:eastAsia="en-GB"/>
        </w:rPr>
        <w:t>[Accessed 24 March 2021].</w:t>
      </w:r>
    </w:p>
    <w:p w14:paraId="2E72F24F" w14:textId="72E8DDAC" w:rsidR="001976D1" w:rsidRDefault="001976D1" w:rsidP="00765F29">
      <w:pPr>
        <w:spacing w:line="240" w:lineRule="auto"/>
        <w:rPr>
          <w:lang w:eastAsia="en-GB"/>
        </w:rPr>
      </w:pPr>
      <w:r>
        <w:rPr>
          <w:lang w:eastAsia="en-GB"/>
        </w:rPr>
        <w:t>Rowlands, I.H.</w:t>
      </w:r>
      <w:r w:rsidR="00F828FC">
        <w:rPr>
          <w:lang w:eastAsia="en-GB"/>
        </w:rPr>
        <w:t xml:space="preserve">, Scott, D. and Parker, P. (2003) </w:t>
      </w:r>
      <w:r w:rsidR="00F828FC" w:rsidRPr="00F828FC">
        <w:rPr>
          <w:lang w:eastAsia="en-GB"/>
        </w:rPr>
        <w:t>Consumers and green electricity: profiling potential purchasers</w:t>
      </w:r>
      <w:r w:rsidR="00F828FC">
        <w:rPr>
          <w:lang w:eastAsia="en-GB"/>
        </w:rPr>
        <w:t xml:space="preserve">. </w:t>
      </w:r>
      <w:r w:rsidR="000C67E9">
        <w:rPr>
          <w:i/>
          <w:iCs/>
          <w:lang w:eastAsia="en-GB"/>
        </w:rPr>
        <w:t xml:space="preserve">Business Strategy and the Environment, </w:t>
      </w:r>
      <w:r w:rsidR="000C67E9">
        <w:rPr>
          <w:lang w:eastAsia="en-GB"/>
        </w:rPr>
        <w:t xml:space="preserve">12 (1), 36-48. Available at: </w:t>
      </w:r>
      <w:hyperlink r:id="rId47" w:history="1">
        <w:r w:rsidR="00A53A4D" w:rsidRPr="00332B5D">
          <w:rPr>
            <w:rStyle w:val="Hyperlink"/>
            <w:i/>
            <w:iCs/>
            <w:lang w:eastAsia="en-GB"/>
          </w:rPr>
          <w:t>https://doi.org/10.1002/bse.346</w:t>
        </w:r>
      </w:hyperlink>
      <w:r w:rsidR="00A53A4D">
        <w:rPr>
          <w:i/>
          <w:iCs/>
          <w:lang w:eastAsia="en-GB"/>
        </w:rPr>
        <w:t xml:space="preserve"> </w:t>
      </w:r>
      <w:r w:rsidR="00A53A4D">
        <w:rPr>
          <w:lang w:eastAsia="en-GB"/>
        </w:rPr>
        <w:t>[Accessed 22 March 2021].</w:t>
      </w:r>
    </w:p>
    <w:p w14:paraId="6A8D0EC9" w14:textId="72280CF8" w:rsidR="00DB615D" w:rsidRDefault="00DB615D" w:rsidP="00765F29">
      <w:pPr>
        <w:spacing w:line="240" w:lineRule="auto"/>
      </w:pPr>
      <w:r>
        <w:rPr>
          <w:lang w:eastAsia="en-GB"/>
        </w:rPr>
        <w:t>Rundle-Thiele, S., Paladino, A.</w:t>
      </w:r>
      <w:r w:rsidR="00A12080">
        <w:rPr>
          <w:lang w:eastAsia="en-GB"/>
        </w:rPr>
        <w:t xml:space="preserve"> and Apostol Jr., S.A.G. (2008) </w:t>
      </w:r>
      <w:r w:rsidR="00A12080" w:rsidRPr="00A12080">
        <w:rPr>
          <w:lang w:eastAsia="en-GB"/>
        </w:rPr>
        <w:t>Lessons learned from renewable electricity marketing attempts: A case study</w:t>
      </w:r>
      <w:r w:rsidR="00A12080">
        <w:rPr>
          <w:lang w:eastAsia="en-GB"/>
        </w:rPr>
        <w:t xml:space="preserve">. </w:t>
      </w:r>
      <w:r w:rsidR="00A12080">
        <w:rPr>
          <w:i/>
          <w:iCs/>
          <w:lang w:eastAsia="en-GB"/>
        </w:rPr>
        <w:t>Business Horizons,</w:t>
      </w:r>
      <w:r w:rsidR="00A12080">
        <w:t xml:space="preserve"> </w:t>
      </w:r>
      <w:r w:rsidR="00644B85">
        <w:t xml:space="preserve">51 (3), 181-190. Available at: </w:t>
      </w:r>
      <w:hyperlink r:id="rId48" w:history="1">
        <w:r w:rsidR="00644B85" w:rsidRPr="00332B5D">
          <w:rPr>
            <w:rStyle w:val="Hyperlink"/>
            <w:i/>
            <w:iCs/>
          </w:rPr>
          <w:t>https://doi.org/10.1016/j.bushor.2008.01.005</w:t>
        </w:r>
      </w:hyperlink>
      <w:r w:rsidR="00644B85">
        <w:rPr>
          <w:i/>
          <w:iCs/>
        </w:rPr>
        <w:t xml:space="preserve"> </w:t>
      </w:r>
      <w:r w:rsidR="00644B85">
        <w:t>[Accessed 18 March 2021].</w:t>
      </w:r>
    </w:p>
    <w:p w14:paraId="058676B5" w14:textId="4503DA75" w:rsidR="00190A8A" w:rsidRDefault="00190A8A" w:rsidP="00765F29">
      <w:pPr>
        <w:spacing w:line="240" w:lineRule="auto"/>
      </w:pPr>
      <w:r>
        <w:t>Sethi</w:t>
      </w:r>
      <w:r w:rsidR="00AC323D">
        <w:t xml:space="preserve">, S.P., Rovenpor, J.L. and Demir, M. (2017) </w:t>
      </w:r>
      <w:r w:rsidR="00AC323D" w:rsidRPr="00AC323D">
        <w:t>Enhancing the Quality of Reporting in Corporate Social Responsibility Guidance Documents: The Roles of ISO 26000, Global Reporting Initiative and CSR‐Sustainability Monitor</w:t>
      </w:r>
      <w:r w:rsidR="00AC323D">
        <w:t xml:space="preserve">. </w:t>
      </w:r>
      <w:r w:rsidR="00F95B2A">
        <w:rPr>
          <w:i/>
          <w:iCs/>
        </w:rPr>
        <w:t xml:space="preserve">Business and Society Review, </w:t>
      </w:r>
      <w:r w:rsidR="00F95B2A">
        <w:t xml:space="preserve">122 (2), 139-163. Available at: </w:t>
      </w:r>
      <w:hyperlink r:id="rId49" w:history="1">
        <w:r w:rsidR="00327CB8" w:rsidRPr="00616B35">
          <w:rPr>
            <w:rStyle w:val="Hyperlink"/>
            <w:i/>
            <w:iCs/>
          </w:rPr>
          <w:t>https://doi.org/10.1111/basr.12113</w:t>
        </w:r>
      </w:hyperlink>
      <w:r w:rsidR="00327CB8">
        <w:rPr>
          <w:i/>
          <w:iCs/>
        </w:rPr>
        <w:t xml:space="preserve"> </w:t>
      </w:r>
      <w:r w:rsidR="00327CB8">
        <w:t>[Accessed 26 March 2021].</w:t>
      </w:r>
    </w:p>
    <w:p w14:paraId="3FE0A55A" w14:textId="3B33B408" w:rsidR="004450D5" w:rsidRPr="002D0FEF" w:rsidRDefault="004450D5" w:rsidP="00765F29">
      <w:pPr>
        <w:spacing w:line="240" w:lineRule="auto"/>
      </w:pPr>
      <w:r>
        <w:lastRenderedPageBreak/>
        <w:t xml:space="preserve">Sidhoum, A.A. and Serra, T. (2017) </w:t>
      </w:r>
      <w:r w:rsidRPr="004450D5">
        <w:t>Corporate social responsibility and dimensions of performance: An application to U.S. electric utilities</w:t>
      </w:r>
      <w:r>
        <w:t xml:space="preserve">. </w:t>
      </w:r>
      <w:r>
        <w:rPr>
          <w:i/>
          <w:iCs/>
        </w:rPr>
        <w:t xml:space="preserve">Utilities Policy, </w:t>
      </w:r>
      <w:r>
        <w:t xml:space="preserve">48, 1-11. Available at: </w:t>
      </w:r>
      <w:hyperlink r:id="rId50" w:history="1">
        <w:r w:rsidR="002D0FEF" w:rsidRPr="00616B35">
          <w:rPr>
            <w:rStyle w:val="Hyperlink"/>
            <w:i/>
            <w:iCs/>
          </w:rPr>
          <w:t>https://doi.org/10.1016/j.jup.2017.06.011</w:t>
        </w:r>
      </w:hyperlink>
      <w:r w:rsidR="002D0FEF">
        <w:rPr>
          <w:i/>
          <w:iCs/>
        </w:rPr>
        <w:t xml:space="preserve"> </w:t>
      </w:r>
      <w:r w:rsidR="002D0FEF">
        <w:t>[Accessed 15 March 2021].</w:t>
      </w:r>
    </w:p>
    <w:p w14:paraId="076A5018" w14:textId="6CBBFE4E" w:rsidR="00F05316" w:rsidRDefault="00F05316" w:rsidP="00765F29">
      <w:pPr>
        <w:spacing w:line="240" w:lineRule="auto"/>
      </w:pPr>
      <w:r w:rsidRPr="00F05316">
        <w:t xml:space="preserve">Sithole, H., Cockerill, T. T., Hughes, K. J., Ingham, D. B., Ma, L., Porter, R. T. J., and Pourkashanian, M. (2016) Developing an optimal electricity generation mix for the UK 2050 future. </w:t>
      </w:r>
      <w:r w:rsidRPr="00F05316">
        <w:rPr>
          <w:i/>
          <w:iCs/>
        </w:rPr>
        <w:t>Energy</w:t>
      </w:r>
      <w:r w:rsidRPr="00F05316">
        <w:t xml:space="preserve"> 100, (1) 363–373. Available at: </w:t>
      </w:r>
      <w:hyperlink r:id="rId51" w:history="1">
        <w:r w:rsidRPr="00F05316">
          <w:rPr>
            <w:rStyle w:val="Hyperlink"/>
            <w:i/>
          </w:rPr>
          <w:t>https://doi.org/10.1016/j.energy.2016.01.077</w:t>
        </w:r>
      </w:hyperlink>
      <w:r w:rsidRPr="00F05316">
        <w:rPr>
          <w:i/>
        </w:rPr>
        <w:t xml:space="preserve"> </w:t>
      </w:r>
      <w:r w:rsidRPr="00F05316">
        <w:t xml:space="preserve"> [Accessed February 17, 2021].</w:t>
      </w:r>
    </w:p>
    <w:p w14:paraId="0317DA25" w14:textId="16BA1867" w:rsidR="00203E54" w:rsidRPr="008C7269" w:rsidRDefault="00203E54" w:rsidP="00765F29">
      <w:pPr>
        <w:spacing w:line="240" w:lineRule="auto"/>
      </w:pPr>
      <w:r>
        <w:t xml:space="preserve">Spaiser, V., Ranganathan, S., Swain, R.B. and Sumpter, D.J.T. (2017) </w:t>
      </w:r>
      <w:r w:rsidRPr="00203E54">
        <w:t>The sustainable development oxymoron: quantifying and modelling the incompatibility of sustainable development goals</w:t>
      </w:r>
      <w:r>
        <w:t xml:space="preserve">. </w:t>
      </w:r>
      <w:r>
        <w:rPr>
          <w:i/>
          <w:iCs/>
        </w:rPr>
        <w:t xml:space="preserve">International Journal of Sustainable Development &amp; World Ecology, </w:t>
      </w:r>
      <w:r w:rsidR="008C7269">
        <w:t xml:space="preserve">24 (6), 457-470. Available at: </w:t>
      </w:r>
      <w:hyperlink r:id="rId52" w:history="1">
        <w:r w:rsidR="008C7269" w:rsidRPr="00B871C4">
          <w:rPr>
            <w:rStyle w:val="Hyperlink"/>
            <w:i/>
            <w:iCs/>
          </w:rPr>
          <w:t>https://doi.org/10.1080/13504509.2016.1235624</w:t>
        </w:r>
      </w:hyperlink>
      <w:r w:rsidR="008C7269">
        <w:rPr>
          <w:i/>
          <w:iCs/>
        </w:rPr>
        <w:t xml:space="preserve"> </w:t>
      </w:r>
      <w:r w:rsidR="008C7269">
        <w:t>[Accessed 25 March 2021].</w:t>
      </w:r>
    </w:p>
    <w:p w14:paraId="4902424A" w14:textId="4C8C2A34" w:rsidR="003D458E" w:rsidRDefault="003D458E" w:rsidP="00765F29">
      <w:pPr>
        <w:spacing w:line="240" w:lineRule="auto"/>
      </w:pPr>
      <w:r>
        <w:rPr>
          <w:i/>
        </w:rPr>
        <w:t xml:space="preserve">SSE Plc </w:t>
      </w:r>
      <w:r>
        <w:t xml:space="preserve">(2020) Sustainability Report. Available at: </w:t>
      </w:r>
      <w:hyperlink r:id="rId53" w:history="1">
        <w:r w:rsidRPr="00A634F3">
          <w:rPr>
            <w:rStyle w:val="Hyperlink"/>
            <w:i/>
          </w:rPr>
          <w:t>https://www.sse.com/media/eh0dqrrw/sse-sustainability-report-2020-feb21.pdf</w:t>
        </w:r>
      </w:hyperlink>
      <w:r>
        <w:rPr>
          <w:i/>
        </w:rPr>
        <w:t xml:space="preserve"> </w:t>
      </w:r>
      <w:r>
        <w:t>[Accessed 15 March 2021].</w:t>
      </w:r>
    </w:p>
    <w:p w14:paraId="6D0B6EDE" w14:textId="18B1454E" w:rsidR="00B326CB" w:rsidRPr="00612A9C" w:rsidRDefault="00B326CB" w:rsidP="00765F29">
      <w:pPr>
        <w:spacing w:line="240" w:lineRule="auto"/>
      </w:pPr>
      <w:r>
        <w:t xml:space="preserve">Terrados, J., Almonacid, G. and Hontoria, L. (2007) </w:t>
      </w:r>
      <w:r w:rsidRPr="00B326CB">
        <w:t>Regional energy planning through SWOT analysis and strategic planning tools.: Impact on renewables development</w:t>
      </w:r>
      <w:r w:rsidR="00612A9C">
        <w:t xml:space="preserve">. </w:t>
      </w:r>
      <w:r w:rsidR="00612A9C">
        <w:rPr>
          <w:i/>
        </w:rPr>
        <w:t xml:space="preserve">Renewable and Sustainable Energy Reviews, </w:t>
      </w:r>
      <w:r w:rsidR="00612A9C">
        <w:t xml:space="preserve">11 (6), 1275-1287. Available at: </w:t>
      </w:r>
      <w:hyperlink r:id="rId54" w:history="1">
        <w:r w:rsidR="00612A9C" w:rsidRPr="00A634F3">
          <w:rPr>
            <w:rStyle w:val="Hyperlink"/>
            <w:i/>
          </w:rPr>
          <w:t>https://doi.org/10.1016/j.rser.2005.08.003</w:t>
        </w:r>
      </w:hyperlink>
      <w:r w:rsidR="00612A9C">
        <w:rPr>
          <w:i/>
        </w:rPr>
        <w:t xml:space="preserve"> </w:t>
      </w:r>
      <w:r w:rsidR="00612A9C">
        <w:t>[Accessed 20 March 2021].</w:t>
      </w:r>
    </w:p>
    <w:p w14:paraId="0085DE01" w14:textId="6C36F2F4" w:rsidR="00E4318C" w:rsidRPr="00E4318C" w:rsidRDefault="00E4318C" w:rsidP="00765F29">
      <w:pPr>
        <w:spacing w:line="240" w:lineRule="auto"/>
        <w:rPr>
          <w:lang w:eastAsia="en-GB"/>
        </w:rPr>
      </w:pPr>
      <w:r w:rsidRPr="00E4318C">
        <w:rPr>
          <w:lang w:eastAsia="en-GB"/>
        </w:rPr>
        <w:t>The Connexion (2021) People in France asked to limit electricity use today.</w:t>
      </w:r>
      <w:r w:rsidR="00CF6759">
        <w:rPr>
          <w:lang w:eastAsia="en-GB"/>
        </w:rPr>
        <w:t xml:space="preserve"> </w:t>
      </w:r>
      <w:r w:rsidRPr="00E4318C">
        <w:rPr>
          <w:lang w:eastAsia="en-GB"/>
        </w:rPr>
        <w:t xml:space="preserve">Available at: </w:t>
      </w:r>
      <w:hyperlink r:id="rId55" w:history="1">
        <w:r w:rsidR="00CF6759" w:rsidRPr="004C7B26">
          <w:rPr>
            <w:rStyle w:val="Hyperlink"/>
            <w:i/>
            <w:lang w:eastAsia="en-GB"/>
          </w:rPr>
          <w:t>https://www.connexionfrance.com/French-news/People-in-France-asked-to-cut-electricity-during-cold-snap-today</w:t>
        </w:r>
      </w:hyperlink>
      <w:r w:rsidR="00CF6759">
        <w:rPr>
          <w:lang w:eastAsia="en-GB"/>
        </w:rPr>
        <w:t xml:space="preserve"> </w:t>
      </w:r>
      <w:r w:rsidRPr="00E4318C">
        <w:rPr>
          <w:lang w:eastAsia="en-GB"/>
        </w:rPr>
        <w:t>[Accessed February 16, 2021]</w:t>
      </w:r>
      <w:r w:rsidR="00086E2E">
        <w:rPr>
          <w:lang w:eastAsia="en-GB"/>
        </w:rPr>
        <w:t>.</w:t>
      </w:r>
    </w:p>
    <w:p w14:paraId="2AA26E62" w14:textId="6F9166F9" w:rsidR="00E4318C" w:rsidRDefault="00E4318C" w:rsidP="00765F29">
      <w:pPr>
        <w:spacing w:line="240" w:lineRule="auto"/>
        <w:rPr>
          <w:lang w:eastAsia="en-GB"/>
        </w:rPr>
      </w:pPr>
      <w:r w:rsidRPr="00E4318C">
        <w:rPr>
          <w:lang w:eastAsia="en-GB"/>
        </w:rPr>
        <w:t>Umit Kucuk, S., and Krishnamurthy, S. (2007) An analysis of consumer power on the Internet. </w:t>
      </w:r>
      <w:r w:rsidRPr="00E4318C">
        <w:rPr>
          <w:i/>
          <w:iCs/>
          <w:lang w:eastAsia="en-GB"/>
        </w:rPr>
        <w:t>Technovation</w:t>
      </w:r>
      <w:r w:rsidRPr="00E4318C">
        <w:rPr>
          <w:lang w:eastAsia="en-GB"/>
        </w:rPr>
        <w:t xml:space="preserve"> 27, (1-2) 47–56. </w:t>
      </w:r>
      <w:r w:rsidR="00CF6759">
        <w:rPr>
          <w:lang w:eastAsia="en-GB"/>
        </w:rPr>
        <w:t xml:space="preserve">Available at: </w:t>
      </w:r>
      <w:hyperlink r:id="rId56" w:history="1">
        <w:r w:rsidR="00CF6759" w:rsidRPr="004C7B26">
          <w:rPr>
            <w:rStyle w:val="Hyperlink"/>
            <w:i/>
            <w:lang w:eastAsia="en-GB"/>
          </w:rPr>
          <w:t>https://doi.org/10.1016/j.technovation.2006.05.002</w:t>
        </w:r>
      </w:hyperlink>
      <w:r w:rsidR="00CF6759">
        <w:rPr>
          <w:lang w:eastAsia="en-GB"/>
        </w:rPr>
        <w:t xml:space="preserve"> </w:t>
      </w:r>
      <w:r w:rsidRPr="00E4318C">
        <w:rPr>
          <w:lang w:eastAsia="en-GB"/>
        </w:rPr>
        <w:t>[Accessed February 22, 2021]</w:t>
      </w:r>
      <w:r w:rsidR="00086E2E">
        <w:rPr>
          <w:lang w:eastAsia="en-GB"/>
        </w:rPr>
        <w:t>.</w:t>
      </w:r>
    </w:p>
    <w:p w14:paraId="38285BB3" w14:textId="27AC04B9" w:rsidR="00250130" w:rsidRDefault="00250130" w:rsidP="00765F29">
      <w:pPr>
        <w:spacing w:line="240" w:lineRule="auto"/>
        <w:rPr>
          <w:lang w:eastAsia="en-GB"/>
        </w:rPr>
      </w:pPr>
      <w:r>
        <w:rPr>
          <w:i/>
          <w:lang w:eastAsia="en-GB"/>
        </w:rPr>
        <w:t xml:space="preserve">United Nations </w:t>
      </w:r>
      <w:r>
        <w:rPr>
          <w:lang w:eastAsia="en-GB"/>
        </w:rPr>
        <w:t xml:space="preserve">(2021) </w:t>
      </w:r>
      <w:r w:rsidRPr="00250130">
        <w:rPr>
          <w:lang w:eastAsia="en-GB"/>
        </w:rPr>
        <w:t>THE 17 GOALS</w:t>
      </w:r>
      <w:r>
        <w:rPr>
          <w:lang w:eastAsia="en-GB"/>
        </w:rPr>
        <w:t xml:space="preserve">. Available at: </w:t>
      </w:r>
      <w:hyperlink r:id="rId57" w:history="1">
        <w:r w:rsidRPr="00A634F3">
          <w:rPr>
            <w:rStyle w:val="Hyperlink"/>
            <w:i/>
            <w:lang w:eastAsia="en-GB"/>
          </w:rPr>
          <w:t>https://sdgs.un.org/goals</w:t>
        </w:r>
      </w:hyperlink>
      <w:r>
        <w:rPr>
          <w:i/>
          <w:lang w:eastAsia="en-GB"/>
        </w:rPr>
        <w:t xml:space="preserve"> </w:t>
      </w:r>
      <w:r>
        <w:rPr>
          <w:lang w:eastAsia="en-GB"/>
        </w:rPr>
        <w:t>[Accessed 15 March 2021].</w:t>
      </w:r>
    </w:p>
    <w:p w14:paraId="0D3E016E" w14:textId="325BFF17" w:rsidR="00791E8C" w:rsidRDefault="00791E8C" w:rsidP="00765F29">
      <w:pPr>
        <w:spacing w:line="240" w:lineRule="auto"/>
        <w:rPr>
          <w:lang w:eastAsia="en-GB"/>
        </w:rPr>
      </w:pPr>
      <w:r>
        <w:rPr>
          <w:i/>
          <w:lang w:eastAsia="en-GB"/>
        </w:rPr>
        <w:t>United Nations Global Compact</w:t>
      </w:r>
      <w:r>
        <w:rPr>
          <w:lang w:eastAsia="en-GB"/>
        </w:rPr>
        <w:t xml:space="preserve"> (2021) Our Participants. Available at: </w:t>
      </w:r>
      <w:hyperlink r:id="rId58" w:history="1">
        <w:r w:rsidRPr="00871854">
          <w:rPr>
            <w:rStyle w:val="Hyperlink"/>
            <w:i/>
            <w:lang w:eastAsia="en-GB"/>
          </w:rPr>
          <w:t>https://www.unglobalcompact.org/what-is-gc/participants</w:t>
        </w:r>
      </w:hyperlink>
      <w:r>
        <w:rPr>
          <w:i/>
          <w:lang w:eastAsia="en-GB"/>
        </w:rPr>
        <w:t xml:space="preserve"> </w:t>
      </w:r>
      <w:r>
        <w:rPr>
          <w:lang w:eastAsia="en-GB"/>
        </w:rPr>
        <w:t>[Accessed 10 March 2021].</w:t>
      </w:r>
    </w:p>
    <w:p w14:paraId="0E55E6BB" w14:textId="692F72C5" w:rsidR="00F75D3F" w:rsidRPr="008E5BF9" w:rsidRDefault="00F75D3F" w:rsidP="00765F29">
      <w:pPr>
        <w:spacing w:line="240" w:lineRule="auto"/>
        <w:rPr>
          <w:lang w:eastAsia="en-GB"/>
        </w:rPr>
      </w:pPr>
      <w:r>
        <w:rPr>
          <w:lang w:eastAsia="en-GB"/>
        </w:rPr>
        <w:t xml:space="preserve">Wang, Z. and Sarkis, J. (2017) </w:t>
      </w:r>
      <w:r w:rsidR="008E5BF9" w:rsidRPr="008E5BF9">
        <w:rPr>
          <w:lang w:eastAsia="en-GB"/>
        </w:rPr>
        <w:t>Corporate social responsibility governance, outcomes, and financial performance</w:t>
      </w:r>
      <w:r w:rsidR="008E5BF9">
        <w:rPr>
          <w:lang w:eastAsia="en-GB"/>
        </w:rPr>
        <w:t xml:space="preserve">. </w:t>
      </w:r>
      <w:r w:rsidR="008E5BF9">
        <w:rPr>
          <w:i/>
          <w:iCs/>
          <w:lang w:eastAsia="en-GB"/>
        </w:rPr>
        <w:t xml:space="preserve">Journal of Cleaner Production, </w:t>
      </w:r>
      <w:r w:rsidR="008E5BF9">
        <w:rPr>
          <w:lang w:eastAsia="en-GB"/>
        </w:rPr>
        <w:t xml:space="preserve">162, 1607-1616. Available at: </w:t>
      </w:r>
      <w:hyperlink r:id="rId59" w:history="1">
        <w:r w:rsidR="008E5BF9" w:rsidRPr="00616B35">
          <w:rPr>
            <w:rStyle w:val="Hyperlink"/>
            <w:i/>
            <w:iCs/>
            <w:lang w:eastAsia="en-GB"/>
          </w:rPr>
          <w:t>https://doi.org/10.1016/j.jclepro.2017.06.142</w:t>
        </w:r>
      </w:hyperlink>
      <w:r w:rsidR="008E5BF9">
        <w:rPr>
          <w:i/>
          <w:iCs/>
          <w:lang w:eastAsia="en-GB"/>
        </w:rPr>
        <w:t xml:space="preserve"> </w:t>
      </w:r>
      <w:r w:rsidR="008E5BF9">
        <w:rPr>
          <w:lang w:eastAsia="en-GB"/>
        </w:rPr>
        <w:t>[Accessed 25 March 2021].</w:t>
      </w:r>
    </w:p>
    <w:p w14:paraId="73B53FE3" w14:textId="216ABDB5" w:rsidR="008953BF" w:rsidRDefault="008953BF" w:rsidP="00765F29">
      <w:pPr>
        <w:spacing w:line="240" w:lineRule="auto"/>
        <w:rPr>
          <w:lang w:eastAsia="en-GB"/>
        </w:rPr>
      </w:pPr>
      <w:r>
        <w:rPr>
          <w:lang w:eastAsia="en-GB"/>
        </w:rPr>
        <w:t xml:space="preserve">Wu, S.R., Shao, C. and Chen, J. (2018) </w:t>
      </w:r>
      <w:r w:rsidR="00775CFF" w:rsidRPr="00775CFF">
        <w:rPr>
          <w:lang w:eastAsia="en-GB"/>
        </w:rPr>
        <w:t>Approaches on the Screening Methods for Materiality in Sustainability Reporting</w:t>
      </w:r>
      <w:r w:rsidR="00775CFF">
        <w:rPr>
          <w:lang w:eastAsia="en-GB"/>
        </w:rPr>
        <w:t xml:space="preserve">. </w:t>
      </w:r>
      <w:r w:rsidR="00775CFF">
        <w:rPr>
          <w:i/>
          <w:iCs/>
          <w:lang w:eastAsia="en-GB"/>
        </w:rPr>
        <w:t xml:space="preserve">Sustainability, </w:t>
      </w:r>
      <w:r w:rsidR="00775CFF">
        <w:rPr>
          <w:lang w:eastAsia="en-GB"/>
        </w:rPr>
        <w:t>10 (9)</w:t>
      </w:r>
      <w:r w:rsidR="00277A24">
        <w:rPr>
          <w:lang w:eastAsia="en-GB"/>
        </w:rPr>
        <w:t xml:space="preserve">. Available at: </w:t>
      </w:r>
      <w:hyperlink r:id="rId60" w:history="1">
        <w:r w:rsidR="00277A24" w:rsidRPr="006747CC">
          <w:rPr>
            <w:rStyle w:val="Hyperlink"/>
            <w:i/>
            <w:iCs/>
            <w:lang w:eastAsia="en-GB"/>
          </w:rPr>
          <w:t>https://doi.org/10.3390/su10093233</w:t>
        </w:r>
      </w:hyperlink>
      <w:r w:rsidR="00277A24">
        <w:rPr>
          <w:i/>
          <w:iCs/>
          <w:lang w:eastAsia="en-GB"/>
        </w:rPr>
        <w:t xml:space="preserve"> </w:t>
      </w:r>
      <w:r w:rsidR="00277A24">
        <w:rPr>
          <w:lang w:eastAsia="en-GB"/>
        </w:rPr>
        <w:t>[Accessed 25 March 2021].</w:t>
      </w:r>
    </w:p>
    <w:p w14:paraId="16FC9436" w14:textId="4AE23C98" w:rsidR="00A5322F" w:rsidRDefault="00A5322F" w:rsidP="00765F29">
      <w:pPr>
        <w:spacing w:line="240" w:lineRule="auto"/>
        <w:rPr>
          <w:lang w:eastAsia="en-GB"/>
        </w:rPr>
      </w:pPr>
    </w:p>
    <w:p w14:paraId="643B7872" w14:textId="58889676" w:rsidR="00A5322F" w:rsidRDefault="00A5322F" w:rsidP="00765F29">
      <w:pPr>
        <w:spacing w:line="240" w:lineRule="auto"/>
        <w:rPr>
          <w:lang w:eastAsia="en-GB"/>
        </w:rPr>
      </w:pPr>
    </w:p>
    <w:p w14:paraId="0B012009" w14:textId="4536B3B7" w:rsidR="00A5322F" w:rsidRDefault="00A5322F" w:rsidP="00765F29">
      <w:pPr>
        <w:spacing w:line="240" w:lineRule="auto"/>
        <w:rPr>
          <w:lang w:eastAsia="en-GB"/>
        </w:rPr>
      </w:pPr>
    </w:p>
    <w:p w14:paraId="5E994108" w14:textId="77777777" w:rsidR="00A5322F" w:rsidRPr="00277A24" w:rsidRDefault="00A5322F" w:rsidP="00765F29">
      <w:pPr>
        <w:spacing w:line="240" w:lineRule="auto"/>
        <w:rPr>
          <w:lang w:eastAsia="en-GB"/>
        </w:rPr>
      </w:pPr>
    </w:p>
    <w:p w14:paraId="0B01C09B" w14:textId="72CE8BB8" w:rsidR="00E4318C" w:rsidRDefault="00A5322F" w:rsidP="00A5322F">
      <w:pPr>
        <w:pStyle w:val="Heading1"/>
        <w:numPr>
          <w:ilvl w:val="0"/>
          <w:numId w:val="46"/>
        </w:numPr>
      </w:pPr>
      <w:bookmarkStart w:id="22" w:name="_Toc94190431"/>
      <w:r>
        <w:lastRenderedPageBreak/>
        <w:t>Appendices</w:t>
      </w:r>
      <w:bookmarkEnd w:id="22"/>
      <w:r>
        <w:t xml:space="preserve"> </w:t>
      </w:r>
    </w:p>
    <w:p w14:paraId="6F87E17C" w14:textId="77777777" w:rsidR="00A5322F" w:rsidRPr="00F4020E" w:rsidRDefault="00A5322F" w:rsidP="00A5322F">
      <w:pPr>
        <w:rPr>
          <w:u w:val="single"/>
        </w:rPr>
      </w:pPr>
    </w:p>
    <w:p w14:paraId="70618DE3" w14:textId="3860A9AC" w:rsidR="00A5322F" w:rsidRPr="00F4020E" w:rsidRDefault="00A5322F" w:rsidP="00A5322F">
      <w:pPr>
        <w:rPr>
          <w:u w:val="single"/>
        </w:rPr>
      </w:pPr>
      <w:r w:rsidRPr="00F4020E">
        <w:rPr>
          <w:u w:val="single"/>
        </w:rPr>
        <w:t>Appendix 1 – Assignment Brief</w:t>
      </w:r>
    </w:p>
    <w:p w14:paraId="6964BCFB" w14:textId="431AD2EB" w:rsidR="00A5322F" w:rsidRPr="00F4020E" w:rsidRDefault="00A5322F" w:rsidP="00A5322F">
      <w:pPr>
        <w:rPr>
          <w:b/>
          <w:bCs/>
        </w:rPr>
      </w:pPr>
      <w:r w:rsidRPr="00F4020E">
        <w:rPr>
          <w:b/>
          <w:bCs/>
        </w:rPr>
        <w:t>Summative Assignment:   A business sector analysis of sustainability opportunities, constraints and reporting practices</w:t>
      </w:r>
    </w:p>
    <w:p w14:paraId="7E4D3D3D" w14:textId="485C860E" w:rsidR="00A5322F" w:rsidRDefault="00A5322F" w:rsidP="00A5322F">
      <w:r>
        <w:t xml:space="preserve">As a business intern,  you have been asked to write an evaluative report of sustainability opportunities and constraints in your selected business sector. You should focus your analysis on around 2-4 organisations within the SAME sector, although you might draw on other sectors for comparison.  </w:t>
      </w:r>
    </w:p>
    <w:p w14:paraId="7644A653" w14:textId="3A2696AF" w:rsidR="00A5322F" w:rsidRDefault="00A5322F" w:rsidP="00A5322F">
      <w:r>
        <w:t xml:space="preserve">The first part of the report should evaluate the macro operational environment, examining characteristics of the national regulatory, civil society and consumer context, and how this influences business approaches to sustainability management. While you may draw on sector/organisational examples to illustrate your arguments, the focus should be on theoretical/conceptual discussion related to organisational context.  </w:t>
      </w:r>
    </w:p>
    <w:p w14:paraId="2DC58BB7" w14:textId="4579FFE1" w:rsidR="00A5322F" w:rsidRDefault="00A5322F" w:rsidP="00A5322F">
      <w:r>
        <w:t>The second part of the report should evaluate the sustainability corporate reporting practices of 2-3 organisations within the SAME sector (although you may draw on other sectors for comparison purposes). You will need to choose businesses which publish sustainability/Corporate Social Responsibility/purpose/impact reports (so these are likely to be larger businesses).</w:t>
      </w:r>
    </w:p>
    <w:p w14:paraId="6F59F62F" w14:textId="73AB8C83" w:rsidR="00A5322F" w:rsidRPr="00A5322F" w:rsidRDefault="00A5322F" w:rsidP="00A5322F">
      <w:r>
        <w:t xml:space="preserve">This section is to be focused directly on analysis of business reports, structured around analysis of corporate reporting theories, frameworks and approaches. </w:t>
      </w:r>
    </w:p>
    <w:sectPr w:rsidR="00A5322F" w:rsidRPr="00A5322F" w:rsidSect="007E7175">
      <w:footerReference w:type="default" r:id="rI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C54CA" w14:textId="77777777" w:rsidR="0069291A" w:rsidRDefault="0069291A" w:rsidP="00946F32">
      <w:pPr>
        <w:spacing w:after="0" w:line="240" w:lineRule="auto"/>
      </w:pPr>
      <w:r>
        <w:separator/>
      </w:r>
    </w:p>
  </w:endnote>
  <w:endnote w:type="continuationSeparator" w:id="0">
    <w:p w14:paraId="6014AF5E" w14:textId="77777777" w:rsidR="0069291A" w:rsidRDefault="0069291A" w:rsidP="00946F32">
      <w:pPr>
        <w:spacing w:after="0" w:line="240" w:lineRule="auto"/>
      </w:pPr>
      <w:r>
        <w:continuationSeparator/>
      </w:r>
    </w:p>
  </w:endnote>
  <w:endnote w:type="continuationNotice" w:id="1">
    <w:p w14:paraId="3DAEAA00" w14:textId="77777777" w:rsidR="0069291A" w:rsidRDefault="006929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905567"/>
      <w:docPartObj>
        <w:docPartGallery w:val="Page Numbers (Bottom of Page)"/>
        <w:docPartUnique/>
      </w:docPartObj>
    </w:sdtPr>
    <w:sdtEndPr/>
    <w:sdtContent>
      <w:p w14:paraId="551F4D2C" w14:textId="3CA201F5" w:rsidR="000829B9" w:rsidRDefault="000829B9">
        <w:pPr>
          <w:pStyle w:val="Footer"/>
          <w:jc w:val="right"/>
        </w:pPr>
        <w:r>
          <w:t xml:space="preserve">Page | </w:t>
        </w:r>
        <w:r>
          <w:fldChar w:fldCharType="begin"/>
        </w:r>
        <w:r>
          <w:instrText xml:space="preserve"> PAGE   \* MERGEFORMAT </w:instrText>
        </w:r>
        <w:r>
          <w:fldChar w:fldCharType="separate"/>
        </w:r>
        <w:r w:rsidR="00777B3E">
          <w:rPr>
            <w:noProof/>
          </w:rPr>
          <w:t>2</w:t>
        </w:r>
        <w:r>
          <w:rPr>
            <w:noProof/>
          </w:rPr>
          <w:fldChar w:fldCharType="end"/>
        </w:r>
        <w:r>
          <w:t xml:space="preserve"> </w:t>
        </w:r>
      </w:p>
    </w:sdtContent>
  </w:sdt>
  <w:p w14:paraId="77F96A04" w14:textId="77777777" w:rsidR="000829B9" w:rsidRDefault="00082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64E30" w14:textId="77777777" w:rsidR="0069291A" w:rsidRDefault="0069291A" w:rsidP="00946F32">
      <w:pPr>
        <w:spacing w:after="0" w:line="240" w:lineRule="auto"/>
      </w:pPr>
      <w:r>
        <w:separator/>
      </w:r>
    </w:p>
  </w:footnote>
  <w:footnote w:type="continuationSeparator" w:id="0">
    <w:p w14:paraId="2508D7A8" w14:textId="77777777" w:rsidR="0069291A" w:rsidRDefault="0069291A" w:rsidP="00946F32">
      <w:pPr>
        <w:spacing w:after="0" w:line="240" w:lineRule="auto"/>
      </w:pPr>
      <w:r>
        <w:continuationSeparator/>
      </w:r>
    </w:p>
  </w:footnote>
  <w:footnote w:type="continuationNotice" w:id="1">
    <w:p w14:paraId="1D71FD82" w14:textId="77777777" w:rsidR="0069291A" w:rsidRDefault="0069291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E68"/>
    <w:multiLevelType w:val="hybridMultilevel"/>
    <w:tmpl w:val="7C5EB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0D64A5"/>
    <w:multiLevelType w:val="hybridMultilevel"/>
    <w:tmpl w:val="5DE0E58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82775B"/>
    <w:multiLevelType w:val="multilevel"/>
    <w:tmpl w:val="AB52FB00"/>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5C266E1"/>
    <w:multiLevelType w:val="hybridMultilevel"/>
    <w:tmpl w:val="46C8DF7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543186"/>
    <w:multiLevelType w:val="hybridMultilevel"/>
    <w:tmpl w:val="C2AE24B6"/>
    <w:lvl w:ilvl="0" w:tplc="9DF2E0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0C3181"/>
    <w:multiLevelType w:val="multilevel"/>
    <w:tmpl w:val="1AEE8A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E8B4B95"/>
    <w:multiLevelType w:val="hybridMultilevel"/>
    <w:tmpl w:val="A858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AF25FF"/>
    <w:multiLevelType w:val="hybridMultilevel"/>
    <w:tmpl w:val="513CD7A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21774C"/>
    <w:multiLevelType w:val="hybridMultilevel"/>
    <w:tmpl w:val="7D5A4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373298"/>
    <w:multiLevelType w:val="hybridMultilevel"/>
    <w:tmpl w:val="71D6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9A1A6D"/>
    <w:multiLevelType w:val="hybridMultilevel"/>
    <w:tmpl w:val="C3A8A7C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9D15D0"/>
    <w:multiLevelType w:val="hybridMultilevel"/>
    <w:tmpl w:val="12022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09E2F62"/>
    <w:multiLevelType w:val="hybridMultilevel"/>
    <w:tmpl w:val="D986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505E62"/>
    <w:multiLevelType w:val="hybridMultilevel"/>
    <w:tmpl w:val="1D62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521DA5"/>
    <w:multiLevelType w:val="hybridMultilevel"/>
    <w:tmpl w:val="E42E6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0315C0"/>
    <w:multiLevelType w:val="hybridMultilevel"/>
    <w:tmpl w:val="45C0475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56A37199"/>
    <w:multiLevelType w:val="hybridMultilevel"/>
    <w:tmpl w:val="A41AE3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F2227D"/>
    <w:multiLevelType w:val="hybridMultilevel"/>
    <w:tmpl w:val="9476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FA533D"/>
    <w:multiLevelType w:val="hybridMultilevel"/>
    <w:tmpl w:val="DB44666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D27548"/>
    <w:multiLevelType w:val="hybridMultilevel"/>
    <w:tmpl w:val="B2D41C7E"/>
    <w:lvl w:ilvl="0" w:tplc="977CE17C">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3026A2"/>
    <w:multiLevelType w:val="hybridMultilevel"/>
    <w:tmpl w:val="952AD9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6BF6A65"/>
    <w:multiLevelType w:val="hybridMultilevel"/>
    <w:tmpl w:val="C116F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F13246"/>
    <w:multiLevelType w:val="hybridMultilevel"/>
    <w:tmpl w:val="517A4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16196B"/>
    <w:multiLevelType w:val="hybridMultilevel"/>
    <w:tmpl w:val="F2EA7A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527CB2"/>
    <w:multiLevelType w:val="hybridMultilevel"/>
    <w:tmpl w:val="CC8A4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8A363D"/>
    <w:multiLevelType w:val="hybridMultilevel"/>
    <w:tmpl w:val="6CDEE8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31152F"/>
    <w:multiLevelType w:val="hybridMultilevel"/>
    <w:tmpl w:val="114C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8"/>
  </w:num>
  <w:num w:numId="12">
    <w:abstractNumId w:val="23"/>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4"/>
  </w:num>
  <w:num w:numId="24">
    <w:abstractNumId w:val="20"/>
  </w:num>
  <w:num w:numId="25">
    <w:abstractNumId w:val="15"/>
  </w:num>
  <w:num w:numId="26">
    <w:abstractNumId w:val="6"/>
  </w:num>
  <w:num w:numId="27">
    <w:abstractNumId w:val="25"/>
  </w:num>
  <w:num w:numId="28">
    <w:abstractNumId w:val="22"/>
  </w:num>
  <w:num w:numId="29">
    <w:abstractNumId w:val="26"/>
  </w:num>
  <w:num w:numId="30">
    <w:abstractNumId w:val="17"/>
  </w:num>
  <w:num w:numId="31">
    <w:abstractNumId w:val="11"/>
  </w:num>
  <w:num w:numId="32">
    <w:abstractNumId w:val="9"/>
  </w:num>
  <w:num w:numId="33">
    <w:abstractNumId w:val="0"/>
  </w:num>
  <w:num w:numId="34">
    <w:abstractNumId w:val="24"/>
  </w:num>
  <w:num w:numId="35">
    <w:abstractNumId w:val="14"/>
  </w:num>
  <w:num w:numId="36">
    <w:abstractNumId w:val="19"/>
  </w:num>
  <w:num w:numId="37">
    <w:abstractNumId w:val="13"/>
  </w:num>
  <w:num w:numId="38">
    <w:abstractNumId w:val="12"/>
  </w:num>
  <w:num w:numId="39">
    <w:abstractNumId w:val="21"/>
  </w:num>
  <w:num w:numId="40">
    <w:abstractNumId w:val="16"/>
  </w:num>
  <w:num w:numId="41">
    <w:abstractNumId w:val="3"/>
  </w:num>
  <w:num w:numId="42">
    <w:abstractNumId w:val="18"/>
  </w:num>
  <w:num w:numId="43">
    <w:abstractNumId w:val="1"/>
  </w:num>
  <w:num w:numId="44">
    <w:abstractNumId w:val="7"/>
  </w:num>
  <w:num w:numId="45">
    <w:abstractNumId w:val="1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FE"/>
    <w:rsid w:val="000001AE"/>
    <w:rsid w:val="00000ABF"/>
    <w:rsid w:val="000027E5"/>
    <w:rsid w:val="00002845"/>
    <w:rsid w:val="00006494"/>
    <w:rsid w:val="00010BF1"/>
    <w:rsid w:val="000115FE"/>
    <w:rsid w:val="0001575F"/>
    <w:rsid w:val="000167E7"/>
    <w:rsid w:val="00017DA3"/>
    <w:rsid w:val="00021034"/>
    <w:rsid w:val="00025558"/>
    <w:rsid w:val="000274BE"/>
    <w:rsid w:val="000301CC"/>
    <w:rsid w:val="00030399"/>
    <w:rsid w:val="000310D9"/>
    <w:rsid w:val="000326AD"/>
    <w:rsid w:val="00037BC9"/>
    <w:rsid w:val="00043218"/>
    <w:rsid w:val="00043F59"/>
    <w:rsid w:val="00044900"/>
    <w:rsid w:val="00045AFE"/>
    <w:rsid w:val="00045C87"/>
    <w:rsid w:val="00046E22"/>
    <w:rsid w:val="000477D8"/>
    <w:rsid w:val="000511ED"/>
    <w:rsid w:val="00053531"/>
    <w:rsid w:val="000554E7"/>
    <w:rsid w:val="00060066"/>
    <w:rsid w:val="000615F0"/>
    <w:rsid w:val="00063418"/>
    <w:rsid w:val="00063EB8"/>
    <w:rsid w:val="00066248"/>
    <w:rsid w:val="00071A72"/>
    <w:rsid w:val="00071B3F"/>
    <w:rsid w:val="00073042"/>
    <w:rsid w:val="000764FD"/>
    <w:rsid w:val="00081190"/>
    <w:rsid w:val="0008268D"/>
    <w:rsid w:val="000829B9"/>
    <w:rsid w:val="00082D2E"/>
    <w:rsid w:val="00086E2E"/>
    <w:rsid w:val="00091904"/>
    <w:rsid w:val="00093E25"/>
    <w:rsid w:val="00094483"/>
    <w:rsid w:val="00094BB3"/>
    <w:rsid w:val="00094EE5"/>
    <w:rsid w:val="00096616"/>
    <w:rsid w:val="00097881"/>
    <w:rsid w:val="000A10F5"/>
    <w:rsid w:val="000A1E05"/>
    <w:rsid w:val="000A2CF9"/>
    <w:rsid w:val="000A4E17"/>
    <w:rsid w:val="000A6402"/>
    <w:rsid w:val="000A6C47"/>
    <w:rsid w:val="000B0BE8"/>
    <w:rsid w:val="000B3898"/>
    <w:rsid w:val="000B397C"/>
    <w:rsid w:val="000B4420"/>
    <w:rsid w:val="000C0D5A"/>
    <w:rsid w:val="000C4C8C"/>
    <w:rsid w:val="000C67E9"/>
    <w:rsid w:val="000C7FF0"/>
    <w:rsid w:val="000E2835"/>
    <w:rsid w:val="000E2FEA"/>
    <w:rsid w:val="000E32FB"/>
    <w:rsid w:val="000E44A6"/>
    <w:rsid w:val="000F1DEE"/>
    <w:rsid w:val="000F79C1"/>
    <w:rsid w:val="00100964"/>
    <w:rsid w:val="00100DD4"/>
    <w:rsid w:val="001060BF"/>
    <w:rsid w:val="00106D94"/>
    <w:rsid w:val="00117FDE"/>
    <w:rsid w:val="00120103"/>
    <w:rsid w:val="00121F11"/>
    <w:rsid w:val="001341B8"/>
    <w:rsid w:val="00134DF6"/>
    <w:rsid w:val="001355B4"/>
    <w:rsid w:val="0013566B"/>
    <w:rsid w:val="001477C4"/>
    <w:rsid w:val="00154F1C"/>
    <w:rsid w:val="00157421"/>
    <w:rsid w:val="00157911"/>
    <w:rsid w:val="00160C5B"/>
    <w:rsid w:val="001633E1"/>
    <w:rsid w:val="00163778"/>
    <w:rsid w:val="00166189"/>
    <w:rsid w:val="0017003A"/>
    <w:rsid w:val="00172909"/>
    <w:rsid w:val="00176247"/>
    <w:rsid w:val="00180955"/>
    <w:rsid w:val="00181E96"/>
    <w:rsid w:val="0018315E"/>
    <w:rsid w:val="00187659"/>
    <w:rsid w:val="00190A8A"/>
    <w:rsid w:val="00192B5D"/>
    <w:rsid w:val="0019483A"/>
    <w:rsid w:val="00194CC0"/>
    <w:rsid w:val="0019685D"/>
    <w:rsid w:val="001976D1"/>
    <w:rsid w:val="001A27CE"/>
    <w:rsid w:val="001A31AB"/>
    <w:rsid w:val="001A4C19"/>
    <w:rsid w:val="001B624B"/>
    <w:rsid w:val="001B781F"/>
    <w:rsid w:val="001C1612"/>
    <w:rsid w:val="001C2306"/>
    <w:rsid w:val="001C2F4E"/>
    <w:rsid w:val="001C3176"/>
    <w:rsid w:val="001C4957"/>
    <w:rsid w:val="001C4D49"/>
    <w:rsid w:val="001C6669"/>
    <w:rsid w:val="001C7376"/>
    <w:rsid w:val="001C796B"/>
    <w:rsid w:val="001D23A7"/>
    <w:rsid w:val="001D2AA6"/>
    <w:rsid w:val="001D4435"/>
    <w:rsid w:val="001D4B3B"/>
    <w:rsid w:val="001D66C7"/>
    <w:rsid w:val="001D7BD4"/>
    <w:rsid w:val="001E212E"/>
    <w:rsid w:val="001E2992"/>
    <w:rsid w:val="001E2F50"/>
    <w:rsid w:val="001E5862"/>
    <w:rsid w:val="001E6E08"/>
    <w:rsid w:val="001F2C1B"/>
    <w:rsid w:val="001F3A96"/>
    <w:rsid w:val="001F49BC"/>
    <w:rsid w:val="001F4DA0"/>
    <w:rsid w:val="001F5F2A"/>
    <w:rsid w:val="001F7B39"/>
    <w:rsid w:val="00202F93"/>
    <w:rsid w:val="00203E54"/>
    <w:rsid w:val="002055A7"/>
    <w:rsid w:val="00205C88"/>
    <w:rsid w:val="002117BA"/>
    <w:rsid w:val="00213D5F"/>
    <w:rsid w:val="00215DCE"/>
    <w:rsid w:val="00221B68"/>
    <w:rsid w:val="0022384B"/>
    <w:rsid w:val="00230951"/>
    <w:rsid w:val="00231AE0"/>
    <w:rsid w:val="002320DE"/>
    <w:rsid w:val="00232D43"/>
    <w:rsid w:val="00233C74"/>
    <w:rsid w:val="00235236"/>
    <w:rsid w:val="0023648E"/>
    <w:rsid w:val="002365F2"/>
    <w:rsid w:val="00237112"/>
    <w:rsid w:val="00240366"/>
    <w:rsid w:val="0024088E"/>
    <w:rsid w:val="002409B7"/>
    <w:rsid w:val="00241118"/>
    <w:rsid w:val="0024281C"/>
    <w:rsid w:val="00245A29"/>
    <w:rsid w:val="0024758F"/>
    <w:rsid w:val="00247DF3"/>
    <w:rsid w:val="00250130"/>
    <w:rsid w:val="0025042E"/>
    <w:rsid w:val="00250721"/>
    <w:rsid w:val="00250954"/>
    <w:rsid w:val="0025188E"/>
    <w:rsid w:val="00252634"/>
    <w:rsid w:val="00252E2B"/>
    <w:rsid w:val="00254054"/>
    <w:rsid w:val="00256A40"/>
    <w:rsid w:val="002616C4"/>
    <w:rsid w:val="00262194"/>
    <w:rsid w:val="0026330F"/>
    <w:rsid w:val="002700D8"/>
    <w:rsid w:val="00270E90"/>
    <w:rsid w:val="00272A35"/>
    <w:rsid w:val="0027490C"/>
    <w:rsid w:val="00274A6B"/>
    <w:rsid w:val="00274AA6"/>
    <w:rsid w:val="00274B65"/>
    <w:rsid w:val="00277A24"/>
    <w:rsid w:val="00281710"/>
    <w:rsid w:val="00283E34"/>
    <w:rsid w:val="00284E1C"/>
    <w:rsid w:val="00285DE7"/>
    <w:rsid w:val="002934FF"/>
    <w:rsid w:val="00293750"/>
    <w:rsid w:val="0029511B"/>
    <w:rsid w:val="00297B82"/>
    <w:rsid w:val="002A39F3"/>
    <w:rsid w:val="002A40AF"/>
    <w:rsid w:val="002A5463"/>
    <w:rsid w:val="002A6FB2"/>
    <w:rsid w:val="002B157B"/>
    <w:rsid w:val="002B161E"/>
    <w:rsid w:val="002B3FE6"/>
    <w:rsid w:val="002B4FCE"/>
    <w:rsid w:val="002C1D59"/>
    <w:rsid w:val="002C3E7A"/>
    <w:rsid w:val="002C524C"/>
    <w:rsid w:val="002D0FEF"/>
    <w:rsid w:val="002D33DA"/>
    <w:rsid w:val="002D5B1C"/>
    <w:rsid w:val="002D6535"/>
    <w:rsid w:val="002D7538"/>
    <w:rsid w:val="002E4C51"/>
    <w:rsid w:val="002F15D2"/>
    <w:rsid w:val="002F3618"/>
    <w:rsid w:val="00300B50"/>
    <w:rsid w:val="00307750"/>
    <w:rsid w:val="0031069A"/>
    <w:rsid w:val="00310D85"/>
    <w:rsid w:val="00311159"/>
    <w:rsid w:val="00312863"/>
    <w:rsid w:val="003143FF"/>
    <w:rsid w:val="00317A2F"/>
    <w:rsid w:val="0032146C"/>
    <w:rsid w:val="00322C8F"/>
    <w:rsid w:val="00323521"/>
    <w:rsid w:val="00323CD1"/>
    <w:rsid w:val="00324C4B"/>
    <w:rsid w:val="00325F72"/>
    <w:rsid w:val="00327964"/>
    <w:rsid w:val="00327CB8"/>
    <w:rsid w:val="00330B7B"/>
    <w:rsid w:val="00335B77"/>
    <w:rsid w:val="00336307"/>
    <w:rsid w:val="00341F9A"/>
    <w:rsid w:val="003427A8"/>
    <w:rsid w:val="00344DA6"/>
    <w:rsid w:val="00345722"/>
    <w:rsid w:val="00345B14"/>
    <w:rsid w:val="00350EEE"/>
    <w:rsid w:val="00351831"/>
    <w:rsid w:val="0035189B"/>
    <w:rsid w:val="00355030"/>
    <w:rsid w:val="003560E7"/>
    <w:rsid w:val="00362A84"/>
    <w:rsid w:val="00370388"/>
    <w:rsid w:val="003757FC"/>
    <w:rsid w:val="00375D81"/>
    <w:rsid w:val="003778A1"/>
    <w:rsid w:val="00383D5F"/>
    <w:rsid w:val="003928A6"/>
    <w:rsid w:val="00392ECC"/>
    <w:rsid w:val="003933CB"/>
    <w:rsid w:val="0039421F"/>
    <w:rsid w:val="003942B5"/>
    <w:rsid w:val="0039532C"/>
    <w:rsid w:val="003A2421"/>
    <w:rsid w:val="003A2F7E"/>
    <w:rsid w:val="003A7A3C"/>
    <w:rsid w:val="003B0A9D"/>
    <w:rsid w:val="003B2030"/>
    <w:rsid w:val="003B3EF9"/>
    <w:rsid w:val="003B6250"/>
    <w:rsid w:val="003B72A5"/>
    <w:rsid w:val="003C1790"/>
    <w:rsid w:val="003C5E51"/>
    <w:rsid w:val="003D1038"/>
    <w:rsid w:val="003D1596"/>
    <w:rsid w:val="003D1D40"/>
    <w:rsid w:val="003D354E"/>
    <w:rsid w:val="003D3598"/>
    <w:rsid w:val="003D3F7E"/>
    <w:rsid w:val="003D458E"/>
    <w:rsid w:val="003D5834"/>
    <w:rsid w:val="003D5E16"/>
    <w:rsid w:val="003E036E"/>
    <w:rsid w:val="003E108B"/>
    <w:rsid w:val="003E2BCF"/>
    <w:rsid w:val="003E4649"/>
    <w:rsid w:val="003F0719"/>
    <w:rsid w:val="003F0FC7"/>
    <w:rsid w:val="003F4C63"/>
    <w:rsid w:val="003F56B5"/>
    <w:rsid w:val="003F68D8"/>
    <w:rsid w:val="003F7103"/>
    <w:rsid w:val="003F7839"/>
    <w:rsid w:val="003F78CE"/>
    <w:rsid w:val="00400568"/>
    <w:rsid w:val="004008FC"/>
    <w:rsid w:val="00400F61"/>
    <w:rsid w:val="004064B3"/>
    <w:rsid w:val="00406ED9"/>
    <w:rsid w:val="0041254E"/>
    <w:rsid w:val="00420243"/>
    <w:rsid w:val="00421037"/>
    <w:rsid w:val="00422DFD"/>
    <w:rsid w:val="00434D37"/>
    <w:rsid w:val="00435501"/>
    <w:rsid w:val="00435A6C"/>
    <w:rsid w:val="00437234"/>
    <w:rsid w:val="00440911"/>
    <w:rsid w:val="004434FD"/>
    <w:rsid w:val="00444000"/>
    <w:rsid w:val="004450D5"/>
    <w:rsid w:val="00445FD0"/>
    <w:rsid w:val="0045013A"/>
    <w:rsid w:val="0045406A"/>
    <w:rsid w:val="004558D1"/>
    <w:rsid w:val="00455CE9"/>
    <w:rsid w:val="004572D4"/>
    <w:rsid w:val="004577D2"/>
    <w:rsid w:val="00465793"/>
    <w:rsid w:val="00465E3C"/>
    <w:rsid w:val="00472956"/>
    <w:rsid w:val="00474B00"/>
    <w:rsid w:val="00474D3F"/>
    <w:rsid w:val="00474FBA"/>
    <w:rsid w:val="004807F4"/>
    <w:rsid w:val="00481336"/>
    <w:rsid w:val="004843BE"/>
    <w:rsid w:val="004863EA"/>
    <w:rsid w:val="004870A0"/>
    <w:rsid w:val="0049019D"/>
    <w:rsid w:val="00491A15"/>
    <w:rsid w:val="004A2929"/>
    <w:rsid w:val="004A3ACC"/>
    <w:rsid w:val="004A42E1"/>
    <w:rsid w:val="004A6025"/>
    <w:rsid w:val="004A7392"/>
    <w:rsid w:val="004B076D"/>
    <w:rsid w:val="004B36B1"/>
    <w:rsid w:val="004B457E"/>
    <w:rsid w:val="004B4F1D"/>
    <w:rsid w:val="004C276B"/>
    <w:rsid w:val="004D207A"/>
    <w:rsid w:val="004D7547"/>
    <w:rsid w:val="004E2274"/>
    <w:rsid w:val="004E33DD"/>
    <w:rsid w:val="004E54AC"/>
    <w:rsid w:val="004E55FE"/>
    <w:rsid w:val="004E6534"/>
    <w:rsid w:val="004F2916"/>
    <w:rsid w:val="00500DF0"/>
    <w:rsid w:val="00504F86"/>
    <w:rsid w:val="00506D2B"/>
    <w:rsid w:val="00511889"/>
    <w:rsid w:val="00512E4A"/>
    <w:rsid w:val="00513D3B"/>
    <w:rsid w:val="005159D0"/>
    <w:rsid w:val="00516C4B"/>
    <w:rsid w:val="00516FEA"/>
    <w:rsid w:val="00517B16"/>
    <w:rsid w:val="00520364"/>
    <w:rsid w:val="005218B9"/>
    <w:rsid w:val="00521B57"/>
    <w:rsid w:val="00523763"/>
    <w:rsid w:val="0052722C"/>
    <w:rsid w:val="00530C0D"/>
    <w:rsid w:val="00531982"/>
    <w:rsid w:val="00532CEF"/>
    <w:rsid w:val="0053330B"/>
    <w:rsid w:val="005336CA"/>
    <w:rsid w:val="00533C56"/>
    <w:rsid w:val="00534B88"/>
    <w:rsid w:val="00535AC6"/>
    <w:rsid w:val="00536DFC"/>
    <w:rsid w:val="00537614"/>
    <w:rsid w:val="00537BE0"/>
    <w:rsid w:val="00540662"/>
    <w:rsid w:val="0054234C"/>
    <w:rsid w:val="005434F7"/>
    <w:rsid w:val="005448D2"/>
    <w:rsid w:val="005476B5"/>
    <w:rsid w:val="00552619"/>
    <w:rsid w:val="00552F6A"/>
    <w:rsid w:val="005550FF"/>
    <w:rsid w:val="005574C7"/>
    <w:rsid w:val="00563690"/>
    <w:rsid w:val="00571E7E"/>
    <w:rsid w:val="00571F9A"/>
    <w:rsid w:val="00577D9A"/>
    <w:rsid w:val="00582A8D"/>
    <w:rsid w:val="00584A66"/>
    <w:rsid w:val="00584B58"/>
    <w:rsid w:val="00584B9E"/>
    <w:rsid w:val="00586617"/>
    <w:rsid w:val="00586EF7"/>
    <w:rsid w:val="0059282C"/>
    <w:rsid w:val="005A36F5"/>
    <w:rsid w:val="005A3A6B"/>
    <w:rsid w:val="005A439D"/>
    <w:rsid w:val="005A4465"/>
    <w:rsid w:val="005A48D7"/>
    <w:rsid w:val="005A6074"/>
    <w:rsid w:val="005A6CAA"/>
    <w:rsid w:val="005B09DD"/>
    <w:rsid w:val="005B0E43"/>
    <w:rsid w:val="005B15D8"/>
    <w:rsid w:val="005B6CB5"/>
    <w:rsid w:val="005B7B2D"/>
    <w:rsid w:val="005C552F"/>
    <w:rsid w:val="005C57F6"/>
    <w:rsid w:val="005D00CC"/>
    <w:rsid w:val="005D1B57"/>
    <w:rsid w:val="005D53F6"/>
    <w:rsid w:val="005D6E14"/>
    <w:rsid w:val="005D7934"/>
    <w:rsid w:val="005E0260"/>
    <w:rsid w:val="005E1274"/>
    <w:rsid w:val="005E1A82"/>
    <w:rsid w:val="005E54C3"/>
    <w:rsid w:val="005E642C"/>
    <w:rsid w:val="005E6B23"/>
    <w:rsid w:val="005F003B"/>
    <w:rsid w:val="005F02F9"/>
    <w:rsid w:val="005F1DCD"/>
    <w:rsid w:val="005F22B8"/>
    <w:rsid w:val="005F23BF"/>
    <w:rsid w:val="005F3D6C"/>
    <w:rsid w:val="0060067A"/>
    <w:rsid w:val="00601A2E"/>
    <w:rsid w:val="006029BB"/>
    <w:rsid w:val="0060364F"/>
    <w:rsid w:val="006053B5"/>
    <w:rsid w:val="006062BC"/>
    <w:rsid w:val="006121C1"/>
    <w:rsid w:val="006128F3"/>
    <w:rsid w:val="00612A9C"/>
    <w:rsid w:val="006136BD"/>
    <w:rsid w:val="00620B81"/>
    <w:rsid w:val="00620CE2"/>
    <w:rsid w:val="00624D3B"/>
    <w:rsid w:val="00625FF1"/>
    <w:rsid w:val="0062708B"/>
    <w:rsid w:val="00627B68"/>
    <w:rsid w:val="0063214A"/>
    <w:rsid w:val="0063441D"/>
    <w:rsid w:val="00634CAE"/>
    <w:rsid w:val="00634FAE"/>
    <w:rsid w:val="00635659"/>
    <w:rsid w:val="0063727A"/>
    <w:rsid w:val="00637317"/>
    <w:rsid w:val="006378D2"/>
    <w:rsid w:val="00640382"/>
    <w:rsid w:val="00640E6D"/>
    <w:rsid w:val="00640FE3"/>
    <w:rsid w:val="00641D2C"/>
    <w:rsid w:val="00644B85"/>
    <w:rsid w:val="00644C36"/>
    <w:rsid w:val="00645D3F"/>
    <w:rsid w:val="006463CD"/>
    <w:rsid w:val="00646941"/>
    <w:rsid w:val="006475DF"/>
    <w:rsid w:val="00651C47"/>
    <w:rsid w:val="0065295E"/>
    <w:rsid w:val="00653B29"/>
    <w:rsid w:val="00664669"/>
    <w:rsid w:val="006676E5"/>
    <w:rsid w:val="00673784"/>
    <w:rsid w:val="00677D06"/>
    <w:rsid w:val="0068092C"/>
    <w:rsid w:val="00680EF1"/>
    <w:rsid w:val="006831DF"/>
    <w:rsid w:val="0068431C"/>
    <w:rsid w:val="00684551"/>
    <w:rsid w:val="0068617B"/>
    <w:rsid w:val="00692314"/>
    <w:rsid w:val="0069291A"/>
    <w:rsid w:val="00693259"/>
    <w:rsid w:val="00694810"/>
    <w:rsid w:val="00696047"/>
    <w:rsid w:val="006A3F94"/>
    <w:rsid w:val="006B1CEC"/>
    <w:rsid w:val="006B26FE"/>
    <w:rsid w:val="006B273E"/>
    <w:rsid w:val="006B4CA3"/>
    <w:rsid w:val="006C0ABD"/>
    <w:rsid w:val="006C2C06"/>
    <w:rsid w:val="006C4757"/>
    <w:rsid w:val="006D06E5"/>
    <w:rsid w:val="006D20D5"/>
    <w:rsid w:val="006D2849"/>
    <w:rsid w:val="006D3E69"/>
    <w:rsid w:val="006D4AC3"/>
    <w:rsid w:val="006D7886"/>
    <w:rsid w:val="006D7888"/>
    <w:rsid w:val="006E4E6C"/>
    <w:rsid w:val="006E7CC5"/>
    <w:rsid w:val="006F065D"/>
    <w:rsid w:val="006F55A8"/>
    <w:rsid w:val="006F5B10"/>
    <w:rsid w:val="0070125C"/>
    <w:rsid w:val="00702838"/>
    <w:rsid w:val="00707B2D"/>
    <w:rsid w:val="007101E7"/>
    <w:rsid w:val="00711F19"/>
    <w:rsid w:val="0071545A"/>
    <w:rsid w:val="00715AB4"/>
    <w:rsid w:val="00716D86"/>
    <w:rsid w:val="00730770"/>
    <w:rsid w:val="00731450"/>
    <w:rsid w:val="00734B74"/>
    <w:rsid w:val="00736DDD"/>
    <w:rsid w:val="00740B63"/>
    <w:rsid w:val="00740D7F"/>
    <w:rsid w:val="00741400"/>
    <w:rsid w:val="007456E6"/>
    <w:rsid w:val="00745B0A"/>
    <w:rsid w:val="007468BE"/>
    <w:rsid w:val="007507AE"/>
    <w:rsid w:val="0075081B"/>
    <w:rsid w:val="00755E51"/>
    <w:rsid w:val="00760FAF"/>
    <w:rsid w:val="00764E81"/>
    <w:rsid w:val="007657E7"/>
    <w:rsid w:val="00765A96"/>
    <w:rsid w:val="00765F29"/>
    <w:rsid w:val="007700BF"/>
    <w:rsid w:val="00773708"/>
    <w:rsid w:val="00775CFF"/>
    <w:rsid w:val="0077654A"/>
    <w:rsid w:val="00776ABD"/>
    <w:rsid w:val="0077702B"/>
    <w:rsid w:val="00777B3E"/>
    <w:rsid w:val="00784A75"/>
    <w:rsid w:val="00786C5A"/>
    <w:rsid w:val="00787620"/>
    <w:rsid w:val="0079055A"/>
    <w:rsid w:val="00791E8C"/>
    <w:rsid w:val="007948A9"/>
    <w:rsid w:val="00797635"/>
    <w:rsid w:val="00797CE4"/>
    <w:rsid w:val="007A1C66"/>
    <w:rsid w:val="007A2B7C"/>
    <w:rsid w:val="007A35CB"/>
    <w:rsid w:val="007A5BAD"/>
    <w:rsid w:val="007A715D"/>
    <w:rsid w:val="007B162F"/>
    <w:rsid w:val="007B1A37"/>
    <w:rsid w:val="007B2E60"/>
    <w:rsid w:val="007B5367"/>
    <w:rsid w:val="007B7BAB"/>
    <w:rsid w:val="007C0601"/>
    <w:rsid w:val="007C1AC4"/>
    <w:rsid w:val="007C2518"/>
    <w:rsid w:val="007D1F4C"/>
    <w:rsid w:val="007D259E"/>
    <w:rsid w:val="007D2D0B"/>
    <w:rsid w:val="007D3642"/>
    <w:rsid w:val="007D48AC"/>
    <w:rsid w:val="007E0266"/>
    <w:rsid w:val="007E40BD"/>
    <w:rsid w:val="007E417D"/>
    <w:rsid w:val="007E650A"/>
    <w:rsid w:val="007E7175"/>
    <w:rsid w:val="007F114B"/>
    <w:rsid w:val="007F7E76"/>
    <w:rsid w:val="008015F0"/>
    <w:rsid w:val="00803773"/>
    <w:rsid w:val="00806ADF"/>
    <w:rsid w:val="00810E5E"/>
    <w:rsid w:val="0081217E"/>
    <w:rsid w:val="00814903"/>
    <w:rsid w:val="008175CD"/>
    <w:rsid w:val="00823BF5"/>
    <w:rsid w:val="0083071A"/>
    <w:rsid w:val="008319E8"/>
    <w:rsid w:val="00834318"/>
    <w:rsid w:val="00835051"/>
    <w:rsid w:val="00836093"/>
    <w:rsid w:val="00836177"/>
    <w:rsid w:val="00850556"/>
    <w:rsid w:val="00852B07"/>
    <w:rsid w:val="00855478"/>
    <w:rsid w:val="008570D7"/>
    <w:rsid w:val="00863127"/>
    <w:rsid w:val="00863B75"/>
    <w:rsid w:val="008661E5"/>
    <w:rsid w:val="008676A9"/>
    <w:rsid w:val="00873027"/>
    <w:rsid w:val="008751E1"/>
    <w:rsid w:val="0087525E"/>
    <w:rsid w:val="008755AA"/>
    <w:rsid w:val="00883A85"/>
    <w:rsid w:val="00885163"/>
    <w:rsid w:val="0088683B"/>
    <w:rsid w:val="00887090"/>
    <w:rsid w:val="00887B5D"/>
    <w:rsid w:val="008915D3"/>
    <w:rsid w:val="00891AFB"/>
    <w:rsid w:val="008953BF"/>
    <w:rsid w:val="00896634"/>
    <w:rsid w:val="008A1437"/>
    <w:rsid w:val="008A1F8E"/>
    <w:rsid w:val="008A28CD"/>
    <w:rsid w:val="008B033C"/>
    <w:rsid w:val="008B2003"/>
    <w:rsid w:val="008B2831"/>
    <w:rsid w:val="008B567C"/>
    <w:rsid w:val="008B65D2"/>
    <w:rsid w:val="008B71F4"/>
    <w:rsid w:val="008B7C7C"/>
    <w:rsid w:val="008C0685"/>
    <w:rsid w:val="008C226F"/>
    <w:rsid w:val="008C34DF"/>
    <w:rsid w:val="008C3E24"/>
    <w:rsid w:val="008C4C6E"/>
    <w:rsid w:val="008C59DE"/>
    <w:rsid w:val="008C7269"/>
    <w:rsid w:val="008D150A"/>
    <w:rsid w:val="008D22EA"/>
    <w:rsid w:val="008D275C"/>
    <w:rsid w:val="008D4417"/>
    <w:rsid w:val="008D4A93"/>
    <w:rsid w:val="008D4C94"/>
    <w:rsid w:val="008D70B6"/>
    <w:rsid w:val="008D7EEE"/>
    <w:rsid w:val="008E476C"/>
    <w:rsid w:val="008E596A"/>
    <w:rsid w:val="008E5BF9"/>
    <w:rsid w:val="008F07AD"/>
    <w:rsid w:val="008F1095"/>
    <w:rsid w:val="008F110B"/>
    <w:rsid w:val="008F25F5"/>
    <w:rsid w:val="008F31E9"/>
    <w:rsid w:val="008F5C5E"/>
    <w:rsid w:val="008F5D34"/>
    <w:rsid w:val="0090549C"/>
    <w:rsid w:val="00911C45"/>
    <w:rsid w:val="00916DE9"/>
    <w:rsid w:val="0092283B"/>
    <w:rsid w:val="00924145"/>
    <w:rsid w:val="00925E7D"/>
    <w:rsid w:val="00926165"/>
    <w:rsid w:val="009261A8"/>
    <w:rsid w:val="00940ABB"/>
    <w:rsid w:val="009435D6"/>
    <w:rsid w:val="009436CB"/>
    <w:rsid w:val="0094613A"/>
    <w:rsid w:val="00946F32"/>
    <w:rsid w:val="00950E37"/>
    <w:rsid w:val="00952421"/>
    <w:rsid w:val="00953DEF"/>
    <w:rsid w:val="009552C3"/>
    <w:rsid w:val="00960125"/>
    <w:rsid w:val="00960F5D"/>
    <w:rsid w:val="00963B63"/>
    <w:rsid w:val="009664AA"/>
    <w:rsid w:val="0096660C"/>
    <w:rsid w:val="00966691"/>
    <w:rsid w:val="00970FB0"/>
    <w:rsid w:val="00972F29"/>
    <w:rsid w:val="00984726"/>
    <w:rsid w:val="00986B40"/>
    <w:rsid w:val="00987A7B"/>
    <w:rsid w:val="00987F7D"/>
    <w:rsid w:val="009920DA"/>
    <w:rsid w:val="00992FDF"/>
    <w:rsid w:val="009954B2"/>
    <w:rsid w:val="009959EF"/>
    <w:rsid w:val="009A44D9"/>
    <w:rsid w:val="009A7CE5"/>
    <w:rsid w:val="009B0AEE"/>
    <w:rsid w:val="009B3A70"/>
    <w:rsid w:val="009B4393"/>
    <w:rsid w:val="009B4D13"/>
    <w:rsid w:val="009B541B"/>
    <w:rsid w:val="009B67F7"/>
    <w:rsid w:val="009C0496"/>
    <w:rsid w:val="009C0ACF"/>
    <w:rsid w:val="009C2204"/>
    <w:rsid w:val="009C22FE"/>
    <w:rsid w:val="009C3465"/>
    <w:rsid w:val="009C348C"/>
    <w:rsid w:val="009C3B45"/>
    <w:rsid w:val="009C3DA0"/>
    <w:rsid w:val="009C5095"/>
    <w:rsid w:val="009C72BA"/>
    <w:rsid w:val="009C7424"/>
    <w:rsid w:val="009D083F"/>
    <w:rsid w:val="009D6046"/>
    <w:rsid w:val="009D6D98"/>
    <w:rsid w:val="009E1864"/>
    <w:rsid w:val="009E2DC6"/>
    <w:rsid w:val="009E5ACA"/>
    <w:rsid w:val="009E7B95"/>
    <w:rsid w:val="00A01C8B"/>
    <w:rsid w:val="00A02330"/>
    <w:rsid w:val="00A030C0"/>
    <w:rsid w:val="00A0324D"/>
    <w:rsid w:val="00A04858"/>
    <w:rsid w:val="00A0638E"/>
    <w:rsid w:val="00A12080"/>
    <w:rsid w:val="00A13706"/>
    <w:rsid w:val="00A14C50"/>
    <w:rsid w:val="00A20FF0"/>
    <w:rsid w:val="00A2443B"/>
    <w:rsid w:val="00A32456"/>
    <w:rsid w:val="00A33147"/>
    <w:rsid w:val="00A3346F"/>
    <w:rsid w:val="00A41FF9"/>
    <w:rsid w:val="00A51C71"/>
    <w:rsid w:val="00A51DB2"/>
    <w:rsid w:val="00A5322F"/>
    <w:rsid w:val="00A53A4D"/>
    <w:rsid w:val="00A6117B"/>
    <w:rsid w:val="00A61EB9"/>
    <w:rsid w:val="00A62DB5"/>
    <w:rsid w:val="00A65658"/>
    <w:rsid w:val="00A663EB"/>
    <w:rsid w:val="00A67062"/>
    <w:rsid w:val="00A67286"/>
    <w:rsid w:val="00A70102"/>
    <w:rsid w:val="00A715EB"/>
    <w:rsid w:val="00A728BF"/>
    <w:rsid w:val="00A73E52"/>
    <w:rsid w:val="00A75062"/>
    <w:rsid w:val="00A774FE"/>
    <w:rsid w:val="00A823CF"/>
    <w:rsid w:val="00A82A1D"/>
    <w:rsid w:val="00A83307"/>
    <w:rsid w:val="00A85B5D"/>
    <w:rsid w:val="00A87725"/>
    <w:rsid w:val="00A91307"/>
    <w:rsid w:val="00A91A4B"/>
    <w:rsid w:val="00A963E0"/>
    <w:rsid w:val="00AA01B0"/>
    <w:rsid w:val="00AA0533"/>
    <w:rsid w:val="00AA2AFA"/>
    <w:rsid w:val="00AA40F6"/>
    <w:rsid w:val="00AA4865"/>
    <w:rsid w:val="00AA6885"/>
    <w:rsid w:val="00AB046E"/>
    <w:rsid w:val="00AB16B9"/>
    <w:rsid w:val="00AB2798"/>
    <w:rsid w:val="00AC00D7"/>
    <w:rsid w:val="00AC2AEC"/>
    <w:rsid w:val="00AC31C8"/>
    <w:rsid w:val="00AC323D"/>
    <w:rsid w:val="00AC3A42"/>
    <w:rsid w:val="00AC5667"/>
    <w:rsid w:val="00AC60E3"/>
    <w:rsid w:val="00AD1271"/>
    <w:rsid w:val="00AD13D3"/>
    <w:rsid w:val="00AE2C73"/>
    <w:rsid w:val="00AE3D7E"/>
    <w:rsid w:val="00AE428F"/>
    <w:rsid w:val="00AE617B"/>
    <w:rsid w:val="00AE79A4"/>
    <w:rsid w:val="00AF0483"/>
    <w:rsid w:val="00AF086D"/>
    <w:rsid w:val="00AF2925"/>
    <w:rsid w:val="00AF7457"/>
    <w:rsid w:val="00B02D83"/>
    <w:rsid w:val="00B052D1"/>
    <w:rsid w:val="00B05F08"/>
    <w:rsid w:val="00B108AB"/>
    <w:rsid w:val="00B10992"/>
    <w:rsid w:val="00B1300D"/>
    <w:rsid w:val="00B163AD"/>
    <w:rsid w:val="00B16FF6"/>
    <w:rsid w:val="00B20848"/>
    <w:rsid w:val="00B24834"/>
    <w:rsid w:val="00B2519B"/>
    <w:rsid w:val="00B30DC1"/>
    <w:rsid w:val="00B32279"/>
    <w:rsid w:val="00B326CB"/>
    <w:rsid w:val="00B334B3"/>
    <w:rsid w:val="00B35775"/>
    <w:rsid w:val="00B35A74"/>
    <w:rsid w:val="00B376E6"/>
    <w:rsid w:val="00B40FED"/>
    <w:rsid w:val="00B527A6"/>
    <w:rsid w:val="00B55EA4"/>
    <w:rsid w:val="00B5624C"/>
    <w:rsid w:val="00B7031E"/>
    <w:rsid w:val="00B71A22"/>
    <w:rsid w:val="00B7605E"/>
    <w:rsid w:val="00B7630C"/>
    <w:rsid w:val="00B77476"/>
    <w:rsid w:val="00B81CDD"/>
    <w:rsid w:val="00B840E0"/>
    <w:rsid w:val="00B927BC"/>
    <w:rsid w:val="00B94C18"/>
    <w:rsid w:val="00B9552D"/>
    <w:rsid w:val="00B97EBD"/>
    <w:rsid w:val="00BA1426"/>
    <w:rsid w:val="00BA17AB"/>
    <w:rsid w:val="00BA49A0"/>
    <w:rsid w:val="00BA4D4C"/>
    <w:rsid w:val="00BA4E27"/>
    <w:rsid w:val="00BB0F27"/>
    <w:rsid w:val="00BB1A0F"/>
    <w:rsid w:val="00BB23FD"/>
    <w:rsid w:val="00BB6BDE"/>
    <w:rsid w:val="00BB7ECD"/>
    <w:rsid w:val="00BC4C94"/>
    <w:rsid w:val="00BC6AA4"/>
    <w:rsid w:val="00BD0452"/>
    <w:rsid w:val="00BD1EF8"/>
    <w:rsid w:val="00BD2B04"/>
    <w:rsid w:val="00BD62B0"/>
    <w:rsid w:val="00BE005E"/>
    <w:rsid w:val="00BE20BE"/>
    <w:rsid w:val="00BE3143"/>
    <w:rsid w:val="00BE3B96"/>
    <w:rsid w:val="00BE3F4A"/>
    <w:rsid w:val="00BE5D11"/>
    <w:rsid w:val="00BF160C"/>
    <w:rsid w:val="00BF47C1"/>
    <w:rsid w:val="00BF5057"/>
    <w:rsid w:val="00C012B2"/>
    <w:rsid w:val="00C03733"/>
    <w:rsid w:val="00C03FF7"/>
    <w:rsid w:val="00C048BF"/>
    <w:rsid w:val="00C070C0"/>
    <w:rsid w:val="00C13122"/>
    <w:rsid w:val="00C1394D"/>
    <w:rsid w:val="00C237BA"/>
    <w:rsid w:val="00C26005"/>
    <w:rsid w:val="00C26A72"/>
    <w:rsid w:val="00C30C6E"/>
    <w:rsid w:val="00C314D3"/>
    <w:rsid w:val="00C31C21"/>
    <w:rsid w:val="00C348A3"/>
    <w:rsid w:val="00C364B7"/>
    <w:rsid w:val="00C376A1"/>
    <w:rsid w:val="00C41FE3"/>
    <w:rsid w:val="00C4511B"/>
    <w:rsid w:val="00C45F1D"/>
    <w:rsid w:val="00C54948"/>
    <w:rsid w:val="00C54F96"/>
    <w:rsid w:val="00C606B6"/>
    <w:rsid w:val="00C609C5"/>
    <w:rsid w:val="00C65DD3"/>
    <w:rsid w:val="00C678D2"/>
    <w:rsid w:val="00C67A7C"/>
    <w:rsid w:val="00C70C44"/>
    <w:rsid w:val="00C80AF6"/>
    <w:rsid w:val="00C80D7A"/>
    <w:rsid w:val="00C8171D"/>
    <w:rsid w:val="00C85E4E"/>
    <w:rsid w:val="00C86AC3"/>
    <w:rsid w:val="00C950D9"/>
    <w:rsid w:val="00CA0982"/>
    <w:rsid w:val="00CA1AB4"/>
    <w:rsid w:val="00CA3D45"/>
    <w:rsid w:val="00CB109D"/>
    <w:rsid w:val="00CB2290"/>
    <w:rsid w:val="00CB36EC"/>
    <w:rsid w:val="00CB4C9F"/>
    <w:rsid w:val="00CB76AD"/>
    <w:rsid w:val="00CC06C5"/>
    <w:rsid w:val="00CC23A6"/>
    <w:rsid w:val="00CC3F52"/>
    <w:rsid w:val="00CC70F6"/>
    <w:rsid w:val="00CC781C"/>
    <w:rsid w:val="00CC7B2D"/>
    <w:rsid w:val="00CD3745"/>
    <w:rsid w:val="00CD3C72"/>
    <w:rsid w:val="00CD47D5"/>
    <w:rsid w:val="00CD4C4B"/>
    <w:rsid w:val="00CD4D32"/>
    <w:rsid w:val="00CD73FC"/>
    <w:rsid w:val="00CE188C"/>
    <w:rsid w:val="00CE5A32"/>
    <w:rsid w:val="00CF39C9"/>
    <w:rsid w:val="00CF6759"/>
    <w:rsid w:val="00D00A0B"/>
    <w:rsid w:val="00D04B80"/>
    <w:rsid w:val="00D04FD9"/>
    <w:rsid w:val="00D059CF"/>
    <w:rsid w:val="00D104D4"/>
    <w:rsid w:val="00D17182"/>
    <w:rsid w:val="00D20C29"/>
    <w:rsid w:val="00D213CA"/>
    <w:rsid w:val="00D21744"/>
    <w:rsid w:val="00D2470F"/>
    <w:rsid w:val="00D25B83"/>
    <w:rsid w:val="00D27988"/>
    <w:rsid w:val="00D30308"/>
    <w:rsid w:val="00D304FA"/>
    <w:rsid w:val="00D315C4"/>
    <w:rsid w:val="00D35038"/>
    <w:rsid w:val="00D377B9"/>
    <w:rsid w:val="00D37B2C"/>
    <w:rsid w:val="00D40498"/>
    <w:rsid w:val="00D4183F"/>
    <w:rsid w:val="00D432A1"/>
    <w:rsid w:val="00D445E2"/>
    <w:rsid w:val="00D44896"/>
    <w:rsid w:val="00D451CA"/>
    <w:rsid w:val="00D4683D"/>
    <w:rsid w:val="00D513FF"/>
    <w:rsid w:val="00D516BA"/>
    <w:rsid w:val="00D5172B"/>
    <w:rsid w:val="00D52C8D"/>
    <w:rsid w:val="00D53150"/>
    <w:rsid w:val="00D54CC1"/>
    <w:rsid w:val="00D56362"/>
    <w:rsid w:val="00D6072D"/>
    <w:rsid w:val="00D61048"/>
    <w:rsid w:val="00D61F0E"/>
    <w:rsid w:val="00D6449B"/>
    <w:rsid w:val="00D6516D"/>
    <w:rsid w:val="00D67EDE"/>
    <w:rsid w:val="00D7260C"/>
    <w:rsid w:val="00D72623"/>
    <w:rsid w:val="00D72D42"/>
    <w:rsid w:val="00D773A4"/>
    <w:rsid w:val="00D80BD1"/>
    <w:rsid w:val="00D9142B"/>
    <w:rsid w:val="00D92C34"/>
    <w:rsid w:val="00D93B2F"/>
    <w:rsid w:val="00D93F6C"/>
    <w:rsid w:val="00D97B68"/>
    <w:rsid w:val="00D97CF8"/>
    <w:rsid w:val="00DA3658"/>
    <w:rsid w:val="00DA388A"/>
    <w:rsid w:val="00DA43C6"/>
    <w:rsid w:val="00DA4F0E"/>
    <w:rsid w:val="00DB615D"/>
    <w:rsid w:val="00DB7147"/>
    <w:rsid w:val="00DC0741"/>
    <w:rsid w:val="00DC33B7"/>
    <w:rsid w:val="00DC4B98"/>
    <w:rsid w:val="00DC4CFE"/>
    <w:rsid w:val="00DC5706"/>
    <w:rsid w:val="00DD0D36"/>
    <w:rsid w:val="00DD15F4"/>
    <w:rsid w:val="00DD4401"/>
    <w:rsid w:val="00DE6021"/>
    <w:rsid w:val="00DE61B5"/>
    <w:rsid w:val="00DE6A25"/>
    <w:rsid w:val="00DE7A44"/>
    <w:rsid w:val="00DF28D7"/>
    <w:rsid w:val="00DF5BD5"/>
    <w:rsid w:val="00DF71C4"/>
    <w:rsid w:val="00E00CA7"/>
    <w:rsid w:val="00E029F1"/>
    <w:rsid w:val="00E0507D"/>
    <w:rsid w:val="00E079CF"/>
    <w:rsid w:val="00E11D97"/>
    <w:rsid w:val="00E122CC"/>
    <w:rsid w:val="00E162BE"/>
    <w:rsid w:val="00E176FE"/>
    <w:rsid w:val="00E17C15"/>
    <w:rsid w:val="00E209F5"/>
    <w:rsid w:val="00E224DC"/>
    <w:rsid w:val="00E2372C"/>
    <w:rsid w:val="00E23A4A"/>
    <w:rsid w:val="00E23B0C"/>
    <w:rsid w:val="00E31B4A"/>
    <w:rsid w:val="00E32889"/>
    <w:rsid w:val="00E3363F"/>
    <w:rsid w:val="00E42CBA"/>
    <w:rsid w:val="00E4318C"/>
    <w:rsid w:val="00E440F6"/>
    <w:rsid w:val="00E46405"/>
    <w:rsid w:val="00E4694B"/>
    <w:rsid w:val="00E46E75"/>
    <w:rsid w:val="00E502C2"/>
    <w:rsid w:val="00E50988"/>
    <w:rsid w:val="00E5430E"/>
    <w:rsid w:val="00E56F0A"/>
    <w:rsid w:val="00E57EFB"/>
    <w:rsid w:val="00E61523"/>
    <w:rsid w:val="00E619FF"/>
    <w:rsid w:val="00E62F1C"/>
    <w:rsid w:val="00E63B64"/>
    <w:rsid w:val="00E654B0"/>
    <w:rsid w:val="00E65C30"/>
    <w:rsid w:val="00E66CFD"/>
    <w:rsid w:val="00E679C5"/>
    <w:rsid w:val="00E744B0"/>
    <w:rsid w:val="00E747DA"/>
    <w:rsid w:val="00E764FD"/>
    <w:rsid w:val="00E8259D"/>
    <w:rsid w:val="00E85E39"/>
    <w:rsid w:val="00E92084"/>
    <w:rsid w:val="00E96910"/>
    <w:rsid w:val="00EA32C8"/>
    <w:rsid w:val="00EA4212"/>
    <w:rsid w:val="00EA4C41"/>
    <w:rsid w:val="00EA6BF3"/>
    <w:rsid w:val="00EA752F"/>
    <w:rsid w:val="00EB0B26"/>
    <w:rsid w:val="00EB2D0D"/>
    <w:rsid w:val="00EB6186"/>
    <w:rsid w:val="00EC0FC0"/>
    <w:rsid w:val="00EC36A7"/>
    <w:rsid w:val="00EC378C"/>
    <w:rsid w:val="00EC56CF"/>
    <w:rsid w:val="00EC7CA0"/>
    <w:rsid w:val="00ED2B6A"/>
    <w:rsid w:val="00ED396E"/>
    <w:rsid w:val="00ED40BA"/>
    <w:rsid w:val="00ED53D1"/>
    <w:rsid w:val="00EE1CE4"/>
    <w:rsid w:val="00EE58C6"/>
    <w:rsid w:val="00EE65CF"/>
    <w:rsid w:val="00EE7E5E"/>
    <w:rsid w:val="00EF2304"/>
    <w:rsid w:val="00EF6381"/>
    <w:rsid w:val="00EF7B21"/>
    <w:rsid w:val="00EF7C59"/>
    <w:rsid w:val="00F00533"/>
    <w:rsid w:val="00F037C9"/>
    <w:rsid w:val="00F05316"/>
    <w:rsid w:val="00F06BFB"/>
    <w:rsid w:val="00F10308"/>
    <w:rsid w:val="00F11840"/>
    <w:rsid w:val="00F1189C"/>
    <w:rsid w:val="00F12727"/>
    <w:rsid w:val="00F147D9"/>
    <w:rsid w:val="00F14B13"/>
    <w:rsid w:val="00F17B25"/>
    <w:rsid w:val="00F229D1"/>
    <w:rsid w:val="00F233E5"/>
    <w:rsid w:val="00F24A80"/>
    <w:rsid w:val="00F2692D"/>
    <w:rsid w:val="00F27547"/>
    <w:rsid w:val="00F322C5"/>
    <w:rsid w:val="00F336FF"/>
    <w:rsid w:val="00F37E78"/>
    <w:rsid w:val="00F4020E"/>
    <w:rsid w:val="00F44B45"/>
    <w:rsid w:val="00F51C7D"/>
    <w:rsid w:val="00F5304F"/>
    <w:rsid w:val="00F5429E"/>
    <w:rsid w:val="00F5755F"/>
    <w:rsid w:val="00F6061A"/>
    <w:rsid w:val="00F63D45"/>
    <w:rsid w:val="00F64817"/>
    <w:rsid w:val="00F653A3"/>
    <w:rsid w:val="00F73C7A"/>
    <w:rsid w:val="00F73E33"/>
    <w:rsid w:val="00F75D3F"/>
    <w:rsid w:val="00F76566"/>
    <w:rsid w:val="00F76A6A"/>
    <w:rsid w:val="00F76AB2"/>
    <w:rsid w:val="00F7714B"/>
    <w:rsid w:val="00F81819"/>
    <w:rsid w:val="00F828FC"/>
    <w:rsid w:val="00F84D16"/>
    <w:rsid w:val="00F85CE7"/>
    <w:rsid w:val="00F87F30"/>
    <w:rsid w:val="00F95B2A"/>
    <w:rsid w:val="00FA0E37"/>
    <w:rsid w:val="00FA2A05"/>
    <w:rsid w:val="00FA2DD0"/>
    <w:rsid w:val="00FA4EEC"/>
    <w:rsid w:val="00FA77AC"/>
    <w:rsid w:val="00FB1224"/>
    <w:rsid w:val="00FB1F9E"/>
    <w:rsid w:val="00FB21B8"/>
    <w:rsid w:val="00FB2E9F"/>
    <w:rsid w:val="00FB52EB"/>
    <w:rsid w:val="00FB5E84"/>
    <w:rsid w:val="00FB607C"/>
    <w:rsid w:val="00FB6380"/>
    <w:rsid w:val="00FD0E69"/>
    <w:rsid w:val="00FD577B"/>
    <w:rsid w:val="00FD6642"/>
    <w:rsid w:val="00FE5DB4"/>
    <w:rsid w:val="00FE6092"/>
    <w:rsid w:val="00FF2C91"/>
    <w:rsid w:val="00FF6A95"/>
    <w:rsid w:val="00FF6CCA"/>
    <w:rsid w:val="00FF79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2B"/>
    <w:rPr>
      <w:rFonts w:ascii="Arial" w:hAnsi="Arial"/>
      <w:sz w:val="24"/>
    </w:rPr>
  </w:style>
  <w:style w:type="paragraph" w:styleId="Heading1">
    <w:name w:val="heading 1"/>
    <w:basedOn w:val="Normal"/>
    <w:next w:val="Normal"/>
    <w:link w:val="Heading1Char"/>
    <w:uiPriority w:val="9"/>
    <w:qFormat/>
    <w:rsid w:val="00D9142B"/>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142B"/>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142B"/>
    <w:pPr>
      <w:keepNext/>
      <w:keepLines/>
      <w:spacing w:before="40" w:after="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A640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A640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A640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A640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A640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640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42B"/>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D9142B"/>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D9142B"/>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A640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A640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A640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A640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A640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640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0A640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9142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9142B"/>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A640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6402"/>
    <w:rPr>
      <w:rFonts w:eastAsiaTheme="minorEastAsia"/>
      <w:color w:val="5A5A5A" w:themeColor="text1" w:themeTint="A5"/>
      <w:spacing w:val="15"/>
    </w:rPr>
  </w:style>
  <w:style w:type="character" w:styleId="Strong">
    <w:name w:val="Strong"/>
    <w:basedOn w:val="DefaultParagraphFont"/>
    <w:uiPriority w:val="22"/>
    <w:qFormat/>
    <w:rsid w:val="000A6402"/>
    <w:rPr>
      <w:b/>
      <w:bCs/>
    </w:rPr>
  </w:style>
  <w:style w:type="character" w:styleId="Emphasis">
    <w:name w:val="Emphasis"/>
    <w:basedOn w:val="DefaultParagraphFont"/>
    <w:uiPriority w:val="20"/>
    <w:qFormat/>
    <w:rsid w:val="000A6402"/>
    <w:rPr>
      <w:i/>
      <w:iCs/>
    </w:rPr>
  </w:style>
  <w:style w:type="paragraph" w:styleId="NoSpacing">
    <w:name w:val="No Spacing"/>
    <w:uiPriority w:val="1"/>
    <w:qFormat/>
    <w:rsid w:val="000A6402"/>
    <w:pPr>
      <w:spacing w:after="0" w:line="240" w:lineRule="auto"/>
    </w:pPr>
  </w:style>
  <w:style w:type="paragraph" w:styleId="Quote">
    <w:name w:val="Quote"/>
    <w:basedOn w:val="Normal"/>
    <w:next w:val="Normal"/>
    <w:link w:val="QuoteChar"/>
    <w:uiPriority w:val="29"/>
    <w:qFormat/>
    <w:rsid w:val="000A640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A6402"/>
    <w:rPr>
      <w:i/>
      <w:iCs/>
      <w:color w:val="404040" w:themeColor="text1" w:themeTint="BF"/>
    </w:rPr>
  </w:style>
  <w:style w:type="paragraph" w:styleId="IntenseQuote">
    <w:name w:val="Intense Quote"/>
    <w:basedOn w:val="Normal"/>
    <w:next w:val="Normal"/>
    <w:link w:val="IntenseQuoteChar"/>
    <w:uiPriority w:val="30"/>
    <w:qFormat/>
    <w:rsid w:val="000A640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A6402"/>
    <w:rPr>
      <w:i/>
      <w:iCs/>
      <w:color w:val="4472C4" w:themeColor="accent1"/>
    </w:rPr>
  </w:style>
  <w:style w:type="character" w:styleId="SubtleEmphasis">
    <w:name w:val="Subtle Emphasis"/>
    <w:basedOn w:val="DefaultParagraphFont"/>
    <w:uiPriority w:val="19"/>
    <w:qFormat/>
    <w:rsid w:val="000A6402"/>
    <w:rPr>
      <w:i/>
      <w:iCs/>
      <w:color w:val="404040" w:themeColor="text1" w:themeTint="BF"/>
    </w:rPr>
  </w:style>
  <w:style w:type="character" w:styleId="IntenseEmphasis">
    <w:name w:val="Intense Emphasis"/>
    <w:basedOn w:val="DefaultParagraphFont"/>
    <w:uiPriority w:val="21"/>
    <w:qFormat/>
    <w:rsid w:val="000A6402"/>
    <w:rPr>
      <w:i/>
      <w:iCs/>
      <w:color w:val="4472C4" w:themeColor="accent1"/>
    </w:rPr>
  </w:style>
  <w:style w:type="character" w:styleId="SubtleReference">
    <w:name w:val="Subtle Reference"/>
    <w:basedOn w:val="DefaultParagraphFont"/>
    <w:uiPriority w:val="31"/>
    <w:qFormat/>
    <w:rsid w:val="000A6402"/>
    <w:rPr>
      <w:smallCaps/>
      <w:color w:val="5A5A5A" w:themeColor="text1" w:themeTint="A5"/>
    </w:rPr>
  </w:style>
  <w:style w:type="character" w:styleId="IntenseReference">
    <w:name w:val="Intense Reference"/>
    <w:basedOn w:val="DefaultParagraphFont"/>
    <w:uiPriority w:val="32"/>
    <w:qFormat/>
    <w:rsid w:val="000A6402"/>
    <w:rPr>
      <w:b/>
      <w:bCs/>
      <w:smallCaps/>
      <w:color w:val="4472C4" w:themeColor="accent1"/>
      <w:spacing w:val="5"/>
    </w:rPr>
  </w:style>
  <w:style w:type="character" w:styleId="BookTitle">
    <w:name w:val="Book Title"/>
    <w:basedOn w:val="DefaultParagraphFont"/>
    <w:uiPriority w:val="33"/>
    <w:qFormat/>
    <w:rsid w:val="000A6402"/>
    <w:rPr>
      <w:b/>
      <w:bCs/>
      <w:i/>
      <w:iCs/>
      <w:spacing w:val="5"/>
    </w:rPr>
  </w:style>
  <w:style w:type="paragraph" w:styleId="TOCHeading">
    <w:name w:val="TOC Heading"/>
    <w:basedOn w:val="Heading1"/>
    <w:next w:val="Normal"/>
    <w:uiPriority w:val="39"/>
    <w:unhideWhenUsed/>
    <w:qFormat/>
    <w:rsid w:val="000A6402"/>
    <w:pPr>
      <w:outlineLvl w:val="9"/>
    </w:pPr>
  </w:style>
  <w:style w:type="paragraph" w:styleId="Header">
    <w:name w:val="header"/>
    <w:basedOn w:val="Normal"/>
    <w:link w:val="HeaderChar"/>
    <w:uiPriority w:val="99"/>
    <w:unhideWhenUsed/>
    <w:rsid w:val="00946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F32"/>
  </w:style>
  <w:style w:type="paragraph" w:styleId="Footer">
    <w:name w:val="footer"/>
    <w:basedOn w:val="Normal"/>
    <w:link w:val="FooterChar"/>
    <w:uiPriority w:val="99"/>
    <w:unhideWhenUsed/>
    <w:rsid w:val="00946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F32"/>
  </w:style>
  <w:style w:type="character" w:styleId="Hyperlink">
    <w:name w:val="Hyperlink"/>
    <w:basedOn w:val="DefaultParagraphFont"/>
    <w:uiPriority w:val="99"/>
    <w:unhideWhenUsed/>
    <w:rsid w:val="002D5B1C"/>
    <w:rPr>
      <w:color w:val="0563C1" w:themeColor="hyperlink"/>
      <w:u w:val="single"/>
    </w:rPr>
  </w:style>
  <w:style w:type="character" w:customStyle="1" w:styleId="UnresolvedMention">
    <w:name w:val="Unresolved Mention"/>
    <w:basedOn w:val="DefaultParagraphFont"/>
    <w:uiPriority w:val="99"/>
    <w:semiHidden/>
    <w:unhideWhenUsed/>
    <w:rsid w:val="002D5B1C"/>
    <w:rPr>
      <w:color w:val="605E5C"/>
      <w:shd w:val="clear" w:color="auto" w:fill="E1DFDD"/>
    </w:rPr>
  </w:style>
  <w:style w:type="paragraph" w:styleId="ListParagraph">
    <w:name w:val="List Paragraph"/>
    <w:basedOn w:val="Normal"/>
    <w:uiPriority w:val="34"/>
    <w:qFormat/>
    <w:rsid w:val="00645D3F"/>
    <w:pPr>
      <w:ind w:left="720"/>
      <w:contextualSpacing/>
    </w:pPr>
  </w:style>
  <w:style w:type="character" w:customStyle="1" w:styleId="textlayer--absolute">
    <w:name w:val="textlayer--absolute"/>
    <w:basedOn w:val="DefaultParagraphFont"/>
    <w:rsid w:val="003C5E51"/>
  </w:style>
  <w:style w:type="paragraph" w:styleId="TOC1">
    <w:name w:val="toc 1"/>
    <w:basedOn w:val="Normal"/>
    <w:next w:val="Normal"/>
    <w:autoRedefine/>
    <w:uiPriority w:val="39"/>
    <w:unhideWhenUsed/>
    <w:rsid w:val="00C4511B"/>
    <w:pPr>
      <w:tabs>
        <w:tab w:val="right" w:leader="dot" w:pos="9016"/>
      </w:tabs>
      <w:spacing w:before="240" w:after="120"/>
    </w:pPr>
    <w:rPr>
      <w:rFonts w:cstheme="minorHAnsi"/>
      <w:b/>
      <w:bCs/>
      <w:sz w:val="20"/>
      <w:szCs w:val="20"/>
    </w:rPr>
  </w:style>
  <w:style w:type="paragraph" w:styleId="TOC2">
    <w:name w:val="toc 2"/>
    <w:basedOn w:val="Normal"/>
    <w:next w:val="Normal"/>
    <w:autoRedefine/>
    <w:uiPriority w:val="39"/>
    <w:unhideWhenUsed/>
    <w:rsid w:val="00CD3C72"/>
    <w:pPr>
      <w:spacing w:before="120" w:after="0"/>
      <w:ind w:left="220"/>
    </w:pPr>
    <w:rPr>
      <w:rFonts w:cstheme="minorHAnsi"/>
      <w:i/>
      <w:iCs/>
      <w:sz w:val="20"/>
      <w:szCs w:val="20"/>
    </w:rPr>
  </w:style>
  <w:style w:type="paragraph" w:styleId="TOC3">
    <w:name w:val="toc 3"/>
    <w:basedOn w:val="Normal"/>
    <w:next w:val="Normal"/>
    <w:autoRedefine/>
    <w:uiPriority w:val="39"/>
    <w:unhideWhenUsed/>
    <w:rsid w:val="00CD3C72"/>
    <w:pPr>
      <w:spacing w:after="0"/>
      <w:ind w:left="440"/>
    </w:pPr>
    <w:rPr>
      <w:rFonts w:cstheme="minorHAnsi"/>
      <w:sz w:val="20"/>
      <w:szCs w:val="20"/>
    </w:rPr>
  </w:style>
  <w:style w:type="character" w:styleId="FollowedHyperlink">
    <w:name w:val="FollowedHyperlink"/>
    <w:basedOn w:val="DefaultParagraphFont"/>
    <w:uiPriority w:val="99"/>
    <w:semiHidden/>
    <w:unhideWhenUsed/>
    <w:rsid w:val="001341B8"/>
    <w:rPr>
      <w:color w:val="954F72" w:themeColor="followedHyperlink"/>
      <w:u w:val="single"/>
    </w:rPr>
  </w:style>
  <w:style w:type="paragraph" w:styleId="NormalWeb">
    <w:name w:val="Normal (Web)"/>
    <w:basedOn w:val="Normal"/>
    <w:uiPriority w:val="99"/>
    <w:semiHidden/>
    <w:unhideWhenUsed/>
    <w:rsid w:val="00571F9A"/>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4">
    <w:name w:val="toc 4"/>
    <w:basedOn w:val="Normal"/>
    <w:next w:val="Normal"/>
    <w:autoRedefine/>
    <w:uiPriority w:val="39"/>
    <w:semiHidden/>
    <w:unhideWhenUsed/>
    <w:rsid w:val="001B781F"/>
    <w:pPr>
      <w:spacing w:after="0"/>
      <w:ind w:left="660"/>
    </w:pPr>
    <w:rPr>
      <w:rFonts w:cstheme="minorHAnsi"/>
      <w:sz w:val="20"/>
      <w:szCs w:val="20"/>
    </w:rPr>
  </w:style>
  <w:style w:type="paragraph" w:styleId="TOC5">
    <w:name w:val="toc 5"/>
    <w:basedOn w:val="Normal"/>
    <w:next w:val="Normal"/>
    <w:autoRedefine/>
    <w:uiPriority w:val="39"/>
    <w:semiHidden/>
    <w:unhideWhenUsed/>
    <w:rsid w:val="001B781F"/>
    <w:pPr>
      <w:spacing w:after="0"/>
      <w:ind w:left="880"/>
    </w:pPr>
    <w:rPr>
      <w:rFonts w:cstheme="minorHAnsi"/>
      <w:sz w:val="20"/>
      <w:szCs w:val="20"/>
    </w:rPr>
  </w:style>
  <w:style w:type="paragraph" w:styleId="TOC6">
    <w:name w:val="toc 6"/>
    <w:basedOn w:val="Normal"/>
    <w:next w:val="Normal"/>
    <w:autoRedefine/>
    <w:uiPriority w:val="39"/>
    <w:semiHidden/>
    <w:unhideWhenUsed/>
    <w:rsid w:val="001B781F"/>
    <w:pPr>
      <w:spacing w:after="0"/>
      <w:ind w:left="1100"/>
    </w:pPr>
    <w:rPr>
      <w:rFonts w:cstheme="minorHAnsi"/>
      <w:sz w:val="20"/>
      <w:szCs w:val="20"/>
    </w:rPr>
  </w:style>
  <w:style w:type="paragraph" w:styleId="TOC7">
    <w:name w:val="toc 7"/>
    <w:basedOn w:val="Normal"/>
    <w:next w:val="Normal"/>
    <w:autoRedefine/>
    <w:uiPriority w:val="39"/>
    <w:semiHidden/>
    <w:unhideWhenUsed/>
    <w:rsid w:val="001B781F"/>
    <w:pPr>
      <w:spacing w:after="0"/>
      <w:ind w:left="1320"/>
    </w:pPr>
    <w:rPr>
      <w:rFonts w:cstheme="minorHAnsi"/>
      <w:sz w:val="20"/>
      <w:szCs w:val="20"/>
    </w:rPr>
  </w:style>
  <w:style w:type="paragraph" w:styleId="TOC8">
    <w:name w:val="toc 8"/>
    <w:basedOn w:val="Normal"/>
    <w:next w:val="Normal"/>
    <w:autoRedefine/>
    <w:uiPriority w:val="39"/>
    <w:semiHidden/>
    <w:unhideWhenUsed/>
    <w:rsid w:val="001B781F"/>
    <w:pPr>
      <w:spacing w:after="0"/>
      <w:ind w:left="1540"/>
    </w:pPr>
    <w:rPr>
      <w:rFonts w:cstheme="minorHAnsi"/>
      <w:sz w:val="20"/>
      <w:szCs w:val="20"/>
    </w:rPr>
  </w:style>
  <w:style w:type="paragraph" w:styleId="TOC9">
    <w:name w:val="toc 9"/>
    <w:basedOn w:val="Normal"/>
    <w:next w:val="Normal"/>
    <w:autoRedefine/>
    <w:uiPriority w:val="39"/>
    <w:semiHidden/>
    <w:unhideWhenUsed/>
    <w:rsid w:val="001B781F"/>
    <w:pPr>
      <w:spacing w:after="0"/>
      <w:ind w:left="1760"/>
    </w:pPr>
    <w:rPr>
      <w:rFonts w:cstheme="minorHAnsi"/>
      <w:sz w:val="20"/>
      <w:szCs w:val="20"/>
    </w:rPr>
  </w:style>
  <w:style w:type="paragraph" w:styleId="BalloonText">
    <w:name w:val="Balloon Text"/>
    <w:basedOn w:val="Normal"/>
    <w:link w:val="BalloonTextChar"/>
    <w:uiPriority w:val="99"/>
    <w:semiHidden/>
    <w:unhideWhenUsed/>
    <w:rsid w:val="00777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2B"/>
    <w:rPr>
      <w:rFonts w:ascii="Arial" w:hAnsi="Arial"/>
      <w:sz w:val="24"/>
    </w:rPr>
  </w:style>
  <w:style w:type="paragraph" w:styleId="Heading1">
    <w:name w:val="heading 1"/>
    <w:basedOn w:val="Normal"/>
    <w:next w:val="Normal"/>
    <w:link w:val="Heading1Char"/>
    <w:uiPriority w:val="9"/>
    <w:qFormat/>
    <w:rsid w:val="00D9142B"/>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142B"/>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142B"/>
    <w:pPr>
      <w:keepNext/>
      <w:keepLines/>
      <w:spacing w:before="40" w:after="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A640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A640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A640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A640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A640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640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42B"/>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D9142B"/>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D9142B"/>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A640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A640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A640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A640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A640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640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0A640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9142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9142B"/>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A640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6402"/>
    <w:rPr>
      <w:rFonts w:eastAsiaTheme="minorEastAsia"/>
      <w:color w:val="5A5A5A" w:themeColor="text1" w:themeTint="A5"/>
      <w:spacing w:val="15"/>
    </w:rPr>
  </w:style>
  <w:style w:type="character" w:styleId="Strong">
    <w:name w:val="Strong"/>
    <w:basedOn w:val="DefaultParagraphFont"/>
    <w:uiPriority w:val="22"/>
    <w:qFormat/>
    <w:rsid w:val="000A6402"/>
    <w:rPr>
      <w:b/>
      <w:bCs/>
    </w:rPr>
  </w:style>
  <w:style w:type="character" w:styleId="Emphasis">
    <w:name w:val="Emphasis"/>
    <w:basedOn w:val="DefaultParagraphFont"/>
    <w:uiPriority w:val="20"/>
    <w:qFormat/>
    <w:rsid w:val="000A6402"/>
    <w:rPr>
      <w:i/>
      <w:iCs/>
    </w:rPr>
  </w:style>
  <w:style w:type="paragraph" w:styleId="NoSpacing">
    <w:name w:val="No Spacing"/>
    <w:uiPriority w:val="1"/>
    <w:qFormat/>
    <w:rsid w:val="000A6402"/>
    <w:pPr>
      <w:spacing w:after="0" w:line="240" w:lineRule="auto"/>
    </w:pPr>
  </w:style>
  <w:style w:type="paragraph" w:styleId="Quote">
    <w:name w:val="Quote"/>
    <w:basedOn w:val="Normal"/>
    <w:next w:val="Normal"/>
    <w:link w:val="QuoteChar"/>
    <w:uiPriority w:val="29"/>
    <w:qFormat/>
    <w:rsid w:val="000A640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A6402"/>
    <w:rPr>
      <w:i/>
      <w:iCs/>
      <w:color w:val="404040" w:themeColor="text1" w:themeTint="BF"/>
    </w:rPr>
  </w:style>
  <w:style w:type="paragraph" w:styleId="IntenseQuote">
    <w:name w:val="Intense Quote"/>
    <w:basedOn w:val="Normal"/>
    <w:next w:val="Normal"/>
    <w:link w:val="IntenseQuoteChar"/>
    <w:uiPriority w:val="30"/>
    <w:qFormat/>
    <w:rsid w:val="000A640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A6402"/>
    <w:rPr>
      <w:i/>
      <w:iCs/>
      <w:color w:val="4472C4" w:themeColor="accent1"/>
    </w:rPr>
  </w:style>
  <w:style w:type="character" w:styleId="SubtleEmphasis">
    <w:name w:val="Subtle Emphasis"/>
    <w:basedOn w:val="DefaultParagraphFont"/>
    <w:uiPriority w:val="19"/>
    <w:qFormat/>
    <w:rsid w:val="000A6402"/>
    <w:rPr>
      <w:i/>
      <w:iCs/>
      <w:color w:val="404040" w:themeColor="text1" w:themeTint="BF"/>
    </w:rPr>
  </w:style>
  <w:style w:type="character" w:styleId="IntenseEmphasis">
    <w:name w:val="Intense Emphasis"/>
    <w:basedOn w:val="DefaultParagraphFont"/>
    <w:uiPriority w:val="21"/>
    <w:qFormat/>
    <w:rsid w:val="000A6402"/>
    <w:rPr>
      <w:i/>
      <w:iCs/>
      <w:color w:val="4472C4" w:themeColor="accent1"/>
    </w:rPr>
  </w:style>
  <w:style w:type="character" w:styleId="SubtleReference">
    <w:name w:val="Subtle Reference"/>
    <w:basedOn w:val="DefaultParagraphFont"/>
    <w:uiPriority w:val="31"/>
    <w:qFormat/>
    <w:rsid w:val="000A6402"/>
    <w:rPr>
      <w:smallCaps/>
      <w:color w:val="5A5A5A" w:themeColor="text1" w:themeTint="A5"/>
    </w:rPr>
  </w:style>
  <w:style w:type="character" w:styleId="IntenseReference">
    <w:name w:val="Intense Reference"/>
    <w:basedOn w:val="DefaultParagraphFont"/>
    <w:uiPriority w:val="32"/>
    <w:qFormat/>
    <w:rsid w:val="000A6402"/>
    <w:rPr>
      <w:b/>
      <w:bCs/>
      <w:smallCaps/>
      <w:color w:val="4472C4" w:themeColor="accent1"/>
      <w:spacing w:val="5"/>
    </w:rPr>
  </w:style>
  <w:style w:type="character" w:styleId="BookTitle">
    <w:name w:val="Book Title"/>
    <w:basedOn w:val="DefaultParagraphFont"/>
    <w:uiPriority w:val="33"/>
    <w:qFormat/>
    <w:rsid w:val="000A6402"/>
    <w:rPr>
      <w:b/>
      <w:bCs/>
      <w:i/>
      <w:iCs/>
      <w:spacing w:val="5"/>
    </w:rPr>
  </w:style>
  <w:style w:type="paragraph" w:styleId="TOCHeading">
    <w:name w:val="TOC Heading"/>
    <w:basedOn w:val="Heading1"/>
    <w:next w:val="Normal"/>
    <w:uiPriority w:val="39"/>
    <w:unhideWhenUsed/>
    <w:qFormat/>
    <w:rsid w:val="000A6402"/>
    <w:pPr>
      <w:outlineLvl w:val="9"/>
    </w:pPr>
  </w:style>
  <w:style w:type="paragraph" w:styleId="Header">
    <w:name w:val="header"/>
    <w:basedOn w:val="Normal"/>
    <w:link w:val="HeaderChar"/>
    <w:uiPriority w:val="99"/>
    <w:unhideWhenUsed/>
    <w:rsid w:val="00946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F32"/>
  </w:style>
  <w:style w:type="paragraph" w:styleId="Footer">
    <w:name w:val="footer"/>
    <w:basedOn w:val="Normal"/>
    <w:link w:val="FooterChar"/>
    <w:uiPriority w:val="99"/>
    <w:unhideWhenUsed/>
    <w:rsid w:val="00946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F32"/>
  </w:style>
  <w:style w:type="character" w:styleId="Hyperlink">
    <w:name w:val="Hyperlink"/>
    <w:basedOn w:val="DefaultParagraphFont"/>
    <w:uiPriority w:val="99"/>
    <w:unhideWhenUsed/>
    <w:rsid w:val="002D5B1C"/>
    <w:rPr>
      <w:color w:val="0563C1" w:themeColor="hyperlink"/>
      <w:u w:val="single"/>
    </w:rPr>
  </w:style>
  <w:style w:type="character" w:customStyle="1" w:styleId="UnresolvedMention">
    <w:name w:val="Unresolved Mention"/>
    <w:basedOn w:val="DefaultParagraphFont"/>
    <w:uiPriority w:val="99"/>
    <w:semiHidden/>
    <w:unhideWhenUsed/>
    <w:rsid w:val="002D5B1C"/>
    <w:rPr>
      <w:color w:val="605E5C"/>
      <w:shd w:val="clear" w:color="auto" w:fill="E1DFDD"/>
    </w:rPr>
  </w:style>
  <w:style w:type="paragraph" w:styleId="ListParagraph">
    <w:name w:val="List Paragraph"/>
    <w:basedOn w:val="Normal"/>
    <w:uiPriority w:val="34"/>
    <w:qFormat/>
    <w:rsid w:val="00645D3F"/>
    <w:pPr>
      <w:ind w:left="720"/>
      <w:contextualSpacing/>
    </w:pPr>
  </w:style>
  <w:style w:type="character" w:customStyle="1" w:styleId="textlayer--absolute">
    <w:name w:val="textlayer--absolute"/>
    <w:basedOn w:val="DefaultParagraphFont"/>
    <w:rsid w:val="003C5E51"/>
  </w:style>
  <w:style w:type="paragraph" w:styleId="TOC1">
    <w:name w:val="toc 1"/>
    <w:basedOn w:val="Normal"/>
    <w:next w:val="Normal"/>
    <w:autoRedefine/>
    <w:uiPriority w:val="39"/>
    <w:unhideWhenUsed/>
    <w:rsid w:val="00C4511B"/>
    <w:pPr>
      <w:tabs>
        <w:tab w:val="right" w:leader="dot" w:pos="9016"/>
      </w:tabs>
      <w:spacing w:before="240" w:after="120"/>
    </w:pPr>
    <w:rPr>
      <w:rFonts w:cstheme="minorHAnsi"/>
      <w:b/>
      <w:bCs/>
      <w:sz w:val="20"/>
      <w:szCs w:val="20"/>
    </w:rPr>
  </w:style>
  <w:style w:type="paragraph" w:styleId="TOC2">
    <w:name w:val="toc 2"/>
    <w:basedOn w:val="Normal"/>
    <w:next w:val="Normal"/>
    <w:autoRedefine/>
    <w:uiPriority w:val="39"/>
    <w:unhideWhenUsed/>
    <w:rsid w:val="00CD3C72"/>
    <w:pPr>
      <w:spacing w:before="120" w:after="0"/>
      <w:ind w:left="220"/>
    </w:pPr>
    <w:rPr>
      <w:rFonts w:cstheme="minorHAnsi"/>
      <w:i/>
      <w:iCs/>
      <w:sz w:val="20"/>
      <w:szCs w:val="20"/>
    </w:rPr>
  </w:style>
  <w:style w:type="paragraph" w:styleId="TOC3">
    <w:name w:val="toc 3"/>
    <w:basedOn w:val="Normal"/>
    <w:next w:val="Normal"/>
    <w:autoRedefine/>
    <w:uiPriority w:val="39"/>
    <w:unhideWhenUsed/>
    <w:rsid w:val="00CD3C72"/>
    <w:pPr>
      <w:spacing w:after="0"/>
      <w:ind w:left="440"/>
    </w:pPr>
    <w:rPr>
      <w:rFonts w:cstheme="minorHAnsi"/>
      <w:sz w:val="20"/>
      <w:szCs w:val="20"/>
    </w:rPr>
  </w:style>
  <w:style w:type="character" w:styleId="FollowedHyperlink">
    <w:name w:val="FollowedHyperlink"/>
    <w:basedOn w:val="DefaultParagraphFont"/>
    <w:uiPriority w:val="99"/>
    <w:semiHidden/>
    <w:unhideWhenUsed/>
    <w:rsid w:val="001341B8"/>
    <w:rPr>
      <w:color w:val="954F72" w:themeColor="followedHyperlink"/>
      <w:u w:val="single"/>
    </w:rPr>
  </w:style>
  <w:style w:type="paragraph" w:styleId="NormalWeb">
    <w:name w:val="Normal (Web)"/>
    <w:basedOn w:val="Normal"/>
    <w:uiPriority w:val="99"/>
    <w:semiHidden/>
    <w:unhideWhenUsed/>
    <w:rsid w:val="00571F9A"/>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4">
    <w:name w:val="toc 4"/>
    <w:basedOn w:val="Normal"/>
    <w:next w:val="Normal"/>
    <w:autoRedefine/>
    <w:uiPriority w:val="39"/>
    <w:semiHidden/>
    <w:unhideWhenUsed/>
    <w:rsid w:val="001B781F"/>
    <w:pPr>
      <w:spacing w:after="0"/>
      <w:ind w:left="660"/>
    </w:pPr>
    <w:rPr>
      <w:rFonts w:cstheme="minorHAnsi"/>
      <w:sz w:val="20"/>
      <w:szCs w:val="20"/>
    </w:rPr>
  </w:style>
  <w:style w:type="paragraph" w:styleId="TOC5">
    <w:name w:val="toc 5"/>
    <w:basedOn w:val="Normal"/>
    <w:next w:val="Normal"/>
    <w:autoRedefine/>
    <w:uiPriority w:val="39"/>
    <w:semiHidden/>
    <w:unhideWhenUsed/>
    <w:rsid w:val="001B781F"/>
    <w:pPr>
      <w:spacing w:after="0"/>
      <w:ind w:left="880"/>
    </w:pPr>
    <w:rPr>
      <w:rFonts w:cstheme="minorHAnsi"/>
      <w:sz w:val="20"/>
      <w:szCs w:val="20"/>
    </w:rPr>
  </w:style>
  <w:style w:type="paragraph" w:styleId="TOC6">
    <w:name w:val="toc 6"/>
    <w:basedOn w:val="Normal"/>
    <w:next w:val="Normal"/>
    <w:autoRedefine/>
    <w:uiPriority w:val="39"/>
    <w:semiHidden/>
    <w:unhideWhenUsed/>
    <w:rsid w:val="001B781F"/>
    <w:pPr>
      <w:spacing w:after="0"/>
      <w:ind w:left="1100"/>
    </w:pPr>
    <w:rPr>
      <w:rFonts w:cstheme="minorHAnsi"/>
      <w:sz w:val="20"/>
      <w:szCs w:val="20"/>
    </w:rPr>
  </w:style>
  <w:style w:type="paragraph" w:styleId="TOC7">
    <w:name w:val="toc 7"/>
    <w:basedOn w:val="Normal"/>
    <w:next w:val="Normal"/>
    <w:autoRedefine/>
    <w:uiPriority w:val="39"/>
    <w:semiHidden/>
    <w:unhideWhenUsed/>
    <w:rsid w:val="001B781F"/>
    <w:pPr>
      <w:spacing w:after="0"/>
      <w:ind w:left="1320"/>
    </w:pPr>
    <w:rPr>
      <w:rFonts w:cstheme="minorHAnsi"/>
      <w:sz w:val="20"/>
      <w:szCs w:val="20"/>
    </w:rPr>
  </w:style>
  <w:style w:type="paragraph" w:styleId="TOC8">
    <w:name w:val="toc 8"/>
    <w:basedOn w:val="Normal"/>
    <w:next w:val="Normal"/>
    <w:autoRedefine/>
    <w:uiPriority w:val="39"/>
    <w:semiHidden/>
    <w:unhideWhenUsed/>
    <w:rsid w:val="001B781F"/>
    <w:pPr>
      <w:spacing w:after="0"/>
      <w:ind w:left="1540"/>
    </w:pPr>
    <w:rPr>
      <w:rFonts w:cstheme="minorHAnsi"/>
      <w:sz w:val="20"/>
      <w:szCs w:val="20"/>
    </w:rPr>
  </w:style>
  <w:style w:type="paragraph" w:styleId="TOC9">
    <w:name w:val="toc 9"/>
    <w:basedOn w:val="Normal"/>
    <w:next w:val="Normal"/>
    <w:autoRedefine/>
    <w:uiPriority w:val="39"/>
    <w:semiHidden/>
    <w:unhideWhenUsed/>
    <w:rsid w:val="001B781F"/>
    <w:pPr>
      <w:spacing w:after="0"/>
      <w:ind w:left="1760"/>
    </w:pPr>
    <w:rPr>
      <w:rFonts w:cstheme="minorHAnsi"/>
      <w:sz w:val="20"/>
      <w:szCs w:val="20"/>
    </w:rPr>
  </w:style>
  <w:style w:type="paragraph" w:styleId="BalloonText">
    <w:name w:val="Balloon Text"/>
    <w:basedOn w:val="Normal"/>
    <w:link w:val="BalloonTextChar"/>
    <w:uiPriority w:val="99"/>
    <w:semiHidden/>
    <w:unhideWhenUsed/>
    <w:rsid w:val="00777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77710">
      <w:bodyDiv w:val="1"/>
      <w:marLeft w:val="0"/>
      <w:marRight w:val="0"/>
      <w:marTop w:val="0"/>
      <w:marBottom w:val="0"/>
      <w:divBdr>
        <w:top w:val="none" w:sz="0" w:space="0" w:color="auto"/>
        <w:left w:val="none" w:sz="0" w:space="0" w:color="auto"/>
        <w:bottom w:val="none" w:sz="0" w:space="0" w:color="auto"/>
        <w:right w:val="none" w:sz="0" w:space="0" w:color="auto"/>
      </w:divBdr>
      <w:divsChild>
        <w:div w:id="277765394">
          <w:marLeft w:val="0"/>
          <w:marRight w:val="0"/>
          <w:marTop w:val="0"/>
          <w:marBottom w:val="0"/>
          <w:divBdr>
            <w:top w:val="none" w:sz="0" w:space="0" w:color="auto"/>
            <w:left w:val="none" w:sz="0" w:space="0" w:color="auto"/>
            <w:bottom w:val="none" w:sz="0" w:space="0" w:color="auto"/>
            <w:right w:val="none" w:sz="0" w:space="0" w:color="auto"/>
          </w:divBdr>
        </w:div>
      </w:divsChild>
    </w:div>
    <w:div w:id="619798198">
      <w:bodyDiv w:val="1"/>
      <w:marLeft w:val="0"/>
      <w:marRight w:val="0"/>
      <w:marTop w:val="0"/>
      <w:marBottom w:val="0"/>
      <w:divBdr>
        <w:top w:val="none" w:sz="0" w:space="0" w:color="auto"/>
        <w:left w:val="none" w:sz="0" w:space="0" w:color="auto"/>
        <w:bottom w:val="none" w:sz="0" w:space="0" w:color="auto"/>
        <w:right w:val="none" w:sz="0" w:space="0" w:color="auto"/>
      </w:divBdr>
    </w:div>
    <w:div w:id="676738791">
      <w:bodyDiv w:val="1"/>
      <w:marLeft w:val="0"/>
      <w:marRight w:val="0"/>
      <w:marTop w:val="0"/>
      <w:marBottom w:val="0"/>
      <w:divBdr>
        <w:top w:val="none" w:sz="0" w:space="0" w:color="auto"/>
        <w:left w:val="none" w:sz="0" w:space="0" w:color="auto"/>
        <w:bottom w:val="none" w:sz="0" w:space="0" w:color="auto"/>
        <w:right w:val="none" w:sz="0" w:space="0" w:color="auto"/>
      </w:divBdr>
    </w:div>
    <w:div w:id="839396261">
      <w:bodyDiv w:val="1"/>
      <w:marLeft w:val="0"/>
      <w:marRight w:val="0"/>
      <w:marTop w:val="0"/>
      <w:marBottom w:val="0"/>
      <w:divBdr>
        <w:top w:val="none" w:sz="0" w:space="0" w:color="auto"/>
        <w:left w:val="none" w:sz="0" w:space="0" w:color="auto"/>
        <w:bottom w:val="none" w:sz="0" w:space="0" w:color="auto"/>
        <w:right w:val="none" w:sz="0" w:space="0" w:color="auto"/>
      </w:divBdr>
    </w:div>
    <w:div w:id="1866097890">
      <w:bodyDiv w:val="1"/>
      <w:marLeft w:val="0"/>
      <w:marRight w:val="0"/>
      <w:marTop w:val="0"/>
      <w:marBottom w:val="0"/>
      <w:divBdr>
        <w:top w:val="none" w:sz="0" w:space="0" w:color="auto"/>
        <w:left w:val="none" w:sz="0" w:space="0" w:color="auto"/>
        <w:bottom w:val="none" w:sz="0" w:space="0" w:color="auto"/>
        <w:right w:val="none" w:sz="0" w:space="0" w:color="auto"/>
      </w:divBdr>
      <w:divsChild>
        <w:div w:id="1312247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0263774x15619628" TargetMode="External"/><Relationship Id="rId18" Type="http://schemas.openxmlformats.org/officeDocument/2006/relationships/hyperlink" Target="https://doi.org/10.1016/j.jenvman.2017.01.074" TargetMode="External"/><Relationship Id="rId26" Type="http://schemas.openxmlformats.org/officeDocument/2006/relationships/hyperlink" Target="https://doi.org/10.1016/j.enpol.2012.04.001" TargetMode="External"/><Relationship Id="rId39" Type="http://schemas.openxmlformats.org/officeDocument/2006/relationships/hyperlink" Target="https://www.um.edu.mt/library/oar/handle/123456789/53881" TargetMode="External"/><Relationship Id="rId21" Type="http://schemas.openxmlformats.org/officeDocument/2006/relationships/hyperlink" Target="https://www.edfenergy.com/sites/default/files/the_better_plan_2019_performance_summary_-_h2806.pdf" TargetMode="External"/><Relationship Id="rId34" Type="http://schemas.openxmlformats.org/officeDocument/2006/relationships/hyperlink" Target="http://www.legislation.gov.uk/ukpga/2008/27/pdfs/ukpga_20080027_en.pdf" TargetMode="External"/><Relationship Id="rId42" Type="http://schemas.openxmlformats.org/officeDocument/2006/relationships/hyperlink" Target="https://doi.org/10.1177/0007650309345420" TargetMode="External"/><Relationship Id="rId47" Type="http://schemas.openxmlformats.org/officeDocument/2006/relationships/hyperlink" Target="https://doi.org/10.1002/bse.346" TargetMode="External"/><Relationship Id="rId50" Type="http://schemas.openxmlformats.org/officeDocument/2006/relationships/hyperlink" Target="https://doi.org/10.1016/j.jup.2017.06.011" TargetMode="External"/><Relationship Id="rId55" Type="http://schemas.openxmlformats.org/officeDocument/2006/relationships/hyperlink" Target="https://www.connexionfrance.com/French-news/People-in-France-asked-to-cut-electricity-during-cold-snap-today"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oi.org/10.1016/j.rser.2009.07.013" TargetMode="External"/><Relationship Id="rId20" Type="http://schemas.openxmlformats.org/officeDocument/2006/relationships/hyperlink" Target="https://www.drax.com/sustainability/" TargetMode="External"/><Relationship Id="rId29" Type="http://schemas.openxmlformats.org/officeDocument/2006/relationships/hyperlink" Target="https://doi.org/10.1016/j.enpol.2005.09.004" TargetMode="External"/><Relationship Id="rId41" Type="http://schemas.openxmlformats.org/officeDocument/2006/relationships/hyperlink" Target="https://www.legislation.gov.uk/understanding-legislation" TargetMode="External"/><Relationship Id="rId54" Type="http://schemas.openxmlformats.org/officeDocument/2006/relationships/hyperlink" Target="https://doi.org/10.1016/j.rser.2005.08.003"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80/00014788.2015.1135781" TargetMode="External"/><Relationship Id="rId24" Type="http://schemas.openxmlformats.org/officeDocument/2006/relationships/hyperlink" Target="https://doi.org/10.1002/tqem.3310080106" TargetMode="External"/><Relationship Id="rId32" Type="http://schemas.openxmlformats.org/officeDocument/2006/relationships/hyperlink" Target="https://doi.org/10.1108/EJM-10-2011-0568" TargetMode="External"/><Relationship Id="rId37" Type="http://schemas.openxmlformats.org/officeDocument/2006/relationships/hyperlink" Target="https://doi.org/10.1016/j.enpol.2015.01.041" TargetMode="External"/><Relationship Id="rId40" Type="http://schemas.openxmlformats.org/officeDocument/2006/relationships/hyperlink" Target="https://doi.org/10.1051/e3sconf/20161000129" TargetMode="External"/><Relationship Id="rId45" Type="http://schemas.openxmlformats.org/officeDocument/2006/relationships/hyperlink" Target="http://ressources.aunege.fr/nuxeo/site/esupversions/c9c186ba-f7d5-4ebe-bd74-d375387f45e8/res/res.pdf" TargetMode="External"/><Relationship Id="rId53" Type="http://schemas.openxmlformats.org/officeDocument/2006/relationships/hyperlink" Target="https://www.sse.com/media/eh0dqrrw/sse-sustainability-report-2020-feb21.pdf" TargetMode="External"/><Relationship Id="rId58" Type="http://schemas.openxmlformats.org/officeDocument/2006/relationships/hyperlink" Target="https://www.unglobalcompact.org/what-is-gc/participants" TargetMode="External"/><Relationship Id="rId5" Type="http://schemas.openxmlformats.org/officeDocument/2006/relationships/settings" Target="settings.xml"/><Relationship Id="rId15" Type="http://schemas.openxmlformats.org/officeDocument/2006/relationships/hyperlink" Target="https://doi.org/10.1186/s40991-016-0004-6" TargetMode="External"/><Relationship Id="rId23" Type="http://schemas.openxmlformats.org/officeDocument/2006/relationships/hyperlink" Target="https://www.edfenergy.com/about/sustainability" TargetMode="External"/><Relationship Id="rId28" Type="http://schemas.openxmlformats.org/officeDocument/2006/relationships/hyperlink" Target="https://my-ibisworld-com.winchester.idm.oclc.org/uk/en/industry/d35.110/about" TargetMode="External"/><Relationship Id="rId36" Type="http://schemas.openxmlformats.org/officeDocument/2006/relationships/hyperlink" Target="https://doi.org/10.1016/j.respol.2010.10.010" TargetMode="External"/><Relationship Id="rId49" Type="http://schemas.openxmlformats.org/officeDocument/2006/relationships/hyperlink" Target="https://doi.org/10.1111/basr.12113" TargetMode="External"/><Relationship Id="rId57" Type="http://schemas.openxmlformats.org/officeDocument/2006/relationships/hyperlink" Target="https://sdgs.un.org/goals" TargetMode="External"/><Relationship Id="rId61" Type="http://schemas.openxmlformats.org/officeDocument/2006/relationships/footer" Target="footer1.xml"/><Relationship Id="rId10" Type="http://schemas.openxmlformats.org/officeDocument/2006/relationships/hyperlink" Target="https://doi.org/10.1016/j.accfor.2008.05.002" TargetMode="External"/><Relationship Id="rId19" Type="http://schemas.openxmlformats.org/officeDocument/2006/relationships/hyperlink" Target="https://www.drax.com/wp-content/uploads/2021/03/Drax_AR2020.pdf" TargetMode="External"/><Relationship Id="rId31" Type="http://schemas.openxmlformats.org/officeDocument/2006/relationships/hyperlink" Target="https://doi.org/10.1007/s10551-011-0772-6" TargetMode="External"/><Relationship Id="rId44" Type="http://schemas.openxmlformats.org/officeDocument/2006/relationships/hyperlink" Target="https://ungc-production.s3.us-west-2.amazonaws.com/attachments/cop_2020/488306/original/UNGC_communication_of_progress_August_2020.pdf?1598006632" TargetMode="External"/><Relationship Id="rId52" Type="http://schemas.openxmlformats.org/officeDocument/2006/relationships/hyperlink" Target="https://doi.org/10.1080/13504509.2016.1235624" TargetMode="External"/><Relationship Id="rId60" Type="http://schemas.openxmlformats.org/officeDocument/2006/relationships/hyperlink" Target="https://doi.org/10.3390/su1009323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seestant.ceon.rs/index.php/industrija/article/view/5131/1835" TargetMode="External"/><Relationship Id="rId22" Type="http://schemas.openxmlformats.org/officeDocument/2006/relationships/hyperlink" Target="https://www.edfenergy.com/energy-efficiency?_ga=2.90878174.579570668.1613988627-218410336.1613988627" TargetMode="External"/><Relationship Id="rId27" Type="http://schemas.openxmlformats.org/officeDocument/2006/relationships/hyperlink" Target="https://doi.org/10.1016/j.econmod.2013.06.023" TargetMode="External"/><Relationship Id="rId30" Type="http://schemas.openxmlformats.org/officeDocument/2006/relationships/hyperlink" Target="https://doi.org/10.5547/01956574.39.6.mgru" TargetMode="External"/><Relationship Id="rId35" Type="http://schemas.openxmlformats.org/officeDocument/2006/relationships/hyperlink" Target="https://www.iea.org/reports/energy-policies-of-iea-countries-united-kingdom-2019-review" TargetMode="External"/><Relationship Id="rId43" Type="http://schemas.openxmlformats.org/officeDocument/2006/relationships/hyperlink" Target="https://doi.org/10.5465/amr.2005.15281448" TargetMode="External"/><Relationship Id="rId48" Type="http://schemas.openxmlformats.org/officeDocument/2006/relationships/hyperlink" Target="https://doi.org/10.1016/j.bushor.2008.01.005" TargetMode="External"/><Relationship Id="rId56" Type="http://schemas.openxmlformats.org/officeDocument/2006/relationships/hyperlink" Target="https://doi.org/10.1016/j.technovation.2006.05.002" TargetMode="External"/><Relationship Id="rId8" Type="http://schemas.openxmlformats.org/officeDocument/2006/relationships/endnotes" Target="endnotes.xml"/><Relationship Id="rId51" Type="http://schemas.openxmlformats.org/officeDocument/2006/relationships/hyperlink" Target="https://doi.org/10.1016/j.energy.2016.01.077" TargetMode="External"/><Relationship Id="rId3" Type="http://schemas.openxmlformats.org/officeDocument/2006/relationships/styles" Target="styles.xml"/><Relationship Id="rId12" Type="http://schemas.openxmlformats.org/officeDocument/2006/relationships/hyperlink" Target="https://doi.org/10.1108/SD-03-2014-0035" TargetMode="External"/><Relationship Id="rId17" Type="http://schemas.openxmlformats.org/officeDocument/2006/relationships/hyperlink" Target="https://doi.org/10.1108/JGR-02-2017-0011" TargetMode="External"/><Relationship Id="rId25" Type="http://schemas.openxmlformats.org/officeDocument/2006/relationships/hyperlink" Target="https://doi.org/10.1016/j.marpol.2017.09.019" TargetMode="External"/><Relationship Id="rId33" Type="http://schemas.openxmlformats.org/officeDocument/2006/relationships/hyperlink" Target="https://doi.org/10.1016/j.enpol.2013.10.083" TargetMode="External"/><Relationship Id="rId38" Type="http://schemas.openxmlformats.org/officeDocument/2006/relationships/hyperlink" Target="https://doi.org/10.3351/ppp.0008.0003.0002" TargetMode="External"/><Relationship Id="rId46" Type="http://schemas.openxmlformats.org/officeDocument/2006/relationships/hyperlink" Target="https://doi.org/10.1177%2F0007650309332378" TargetMode="External"/><Relationship Id="rId59" Type="http://schemas.openxmlformats.org/officeDocument/2006/relationships/hyperlink" Target="https://doi.org/10.1016/j.jclepro.2017.06.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BFFCF-9C29-4B95-9E28-DD560F98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5905</Words>
  <Characters>33665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39492</CharactersWithSpaces>
  <SharedDoc>false</SharedDoc>
  <HLinks>
    <vt:vector size="426" baseType="variant">
      <vt:variant>
        <vt:i4>6619179</vt:i4>
      </vt:variant>
      <vt:variant>
        <vt:i4>273</vt:i4>
      </vt:variant>
      <vt:variant>
        <vt:i4>0</vt:i4>
      </vt:variant>
      <vt:variant>
        <vt:i4>5</vt:i4>
      </vt:variant>
      <vt:variant>
        <vt:lpwstr>https://doi.org/10.3390/su10093233</vt:lpwstr>
      </vt:variant>
      <vt:variant>
        <vt:lpwstr/>
      </vt:variant>
      <vt:variant>
        <vt:i4>4915205</vt:i4>
      </vt:variant>
      <vt:variant>
        <vt:i4>270</vt:i4>
      </vt:variant>
      <vt:variant>
        <vt:i4>0</vt:i4>
      </vt:variant>
      <vt:variant>
        <vt:i4>5</vt:i4>
      </vt:variant>
      <vt:variant>
        <vt:lpwstr>https://doi.org/10.1016/j.jclepro.2017.06.142</vt:lpwstr>
      </vt:variant>
      <vt:variant>
        <vt:lpwstr/>
      </vt:variant>
      <vt:variant>
        <vt:i4>6750247</vt:i4>
      </vt:variant>
      <vt:variant>
        <vt:i4>267</vt:i4>
      </vt:variant>
      <vt:variant>
        <vt:i4>0</vt:i4>
      </vt:variant>
      <vt:variant>
        <vt:i4>5</vt:i4>
      </vt:variant>
      <vt:variant>
        <vt:lpwstr>https://www.unglobalcompact.org/what-is-gc/participants</vt:lpwstr>
      </vt:variant>
      <vt:variant>
        <vt:lpwstr/>
      </vt:variant>
      <vt:variant>
        <vt:i4>196634</vt:i4>
      </vt:variant>
      <vt:variant>
        <vt:i4>264</vt:i4>
      </vt:variant>
      <vt:variant>
        <vt:i4>0</vt:i4>
      </vt:variant>
      <vt:variant>
        <vt:i4>5</vt:i4>
      </vt:variant>
      <vt:variant>
        <vt:lpwstr>https://sdgs.un.org/goals</vt:lpwstr>
      </vt:variant>
      <vt:variant>
        <vt:lpwstr/>
      </vt:variant>
      <vt:variant>
        <vt:i4>2293796</vt:i4>
      </vt:variant>
      <vt:variant>
        <vt:i4>261</vt:i4>
      </vt:variant>
      <vt:variant>
        <vt:i4>0</vt:i4>
      </vt:variant>
      <vt:variant>
        <vt:i4>5</vt:i4>
      </vt:variant>
      <vt:variant>
        <vt:lpwstr>https://doi.org/10.1016/j.technovation.2006.05.002</vt:lpwstr>
      </vt:variant>
      <vt:variant>
        <vt:lpwstr/>
      </vt:variant>
      <vt:variant>
        <vt:i4>6094939</vt:i4>
      </vt:variant>
      <vt:variant>
        <vt:i4>258</vt:i4>
      </vt:variant>
      <vt:variant>
        <vt:i4>0</vt:i4>
      </vt:variant>
      <vt:variant>
        <vt:i4>5</vt:i4>
      </vt:variant>
      <vt:variant>
        <vt:lpwstr>https://www.connexionfrance.com/French-news/People-in-France-asked-to-cut-electricity-during-cold-snap-today</vt:lpwstr>
      </vt:variant>
      <vt:variant>
        <vt:lpwstr/>
      </vt:variant>
      <vt:variant>
        <vt:i4>2752548</vt:i4>
      </vt:variant>
      <vt:variant>
        <vt:i4>255</vt:i4>
      </vt:variant>
      <vt:variant>
        <vt:i4>0</vt:i4>
      </vt:variant>
      <vt:variant>
        <vt:i4>5</vt:i4>
      </vt:variant>
      <vt:variant>
        <vt:lpwstr>https://doi.org/10.1016/j.rser.2005.08.003</vt:lpwstr>
      </vt:variant>
      <vt:variant>
        <vt:lpwstr/>
      </vt:variant>
      <vt:variant>
        <vt:i4>8323199</vt:i4>
      </vt:variant>
      <vt:variant>
        <vt:i4>252</vt:i4>
      </vt:variant>
      <vt:variant>
        <vt:i4>0</vt:i4>
      </vt:variant>
      <vt:variant>
        <vt:i4>5</vt:i4>
      </vt:variant>
      <vt:variant>
        <vt:lpwstr>https://www.sse.com/media/eh0dqrrw/sse-sustainability-report-2020-feb21.pdf</vt:lpwstr>
      </vt:variant>
      <vt:variant>
        <vt:lpwstr/>
      </vt:variant>
      <vt:variant>
        <vt:i4>786502</vt:i4>
      </vt:variant>
      <vt:variant>
        <vt:i4>249</vt:i4>
      </vt:variant>
      <vt:variant>
        <vt:i4>0</vt:i4>
      </vt:variant>
      <vt:variant>
        <vt:i4>5</vt:i4>
      </vt:variant>
      <vt:variant>
        <vt:lpwstr>https://doi.org/10.1080/13504509.2016.1235624</vt:lpwstr>
      </vt:variant>
      <vt:variant>
        <vt:lpwstr/>
      </vt:variant>
      <vt:variant>
        <vt:i4>4325456</vt:i4>
      </vt:variant>
      <vt:variant>
        <vt:i4>246</vt:i4>
      </vt:variant>
      <vt:variant>
        <vt:i4>0</vt:i4>
      </vt:variant>
      <vt:variant>
        <vt:i4>5</vt:i4>
      </vt:variant>
      <vt:variant>
        <vt:lpwstr>https://doi.org/10.1016/j.energy.2016.01.077</vt:lpwstr>
      </vt:variant>
      <vt:variant>
        <vt:lpwstr/>
      </vt:variant>
      <vt:variant>
        <vt:i4>5177351</vt:i4>
      </vt:variant>
      <vt:variant>
        <vt:i4>243</vt:i4>
      </vt:variant>
      <vt:variant>
        <vt:i4>0</vt:i4>
      </vt:variant>
      <vt:variant>
        <vt:i4>5</vt:i4>
      </vt:variant>
      <vt:variant>
        <vt:lpwstr>https://doi.org/10.1016/j.jup.2017.06.011</vt:lpwstr>
      </vt:variant>
      <vt:variant>
        <vt:lpwstr/>
      </vt:variant>
      <vt:variant>
        <vt:i4>3276902</vt:i4>
      </vt:variant>
      <vt:variant>
        <vt:i4>240</vt:i4>
      </vt:variant>
      <vt:variant>
        <vt:i4>0</vt:i4>
      </vt:variant>
      <vt:variant>
        <vt:i4>5</vt:i4>
      </vt:variant>
      <vt:variant>
        <vt:lpwstr>https://doi.org/10.1111/basr.12113</vt:lpwstr>
      </vt:variant>
      <vt:variant>
        <vt:lpwstr/>
      </vt:variant>
      <vt:variant>
        <vt:i4>4915264</vt:i4>
      </vt:variant>
      <vt:variant>
        <vt:i4>237</vt:i4>
      </vt:variant>
      <vt:variant>
        <vt:i4>0</vt:i4>
      </vt:variant>
      <vt:variant>
        <vt:i4>5</vt:i4>
      </vt:variant>
      <vt:variant>
        <vt:lpwstr>https://doi.org/10.1016/j.bushor.2008.01.005</vt:lpwstr>
      </vt:variant>
      <vt:variant>
        <vt:lpwstr/>
      </vt:variant>
      <vt:variant>
        <vt:i4>7995500</vt:i4>
      </vt:variant>
      <vt:variant>
        <vt:i4>234</vt:i4>
      </vt:variant>
      <vt:variant>
        <vt:i4>0</vt:i4>
      </vt:variant>
      <vt:variant>
        <vt:i4>5</vt:i4>
      </vt:variant>
      <vt:variant>
        <vt:lpwstr>https://doi.org/10.1002/bse.346</vt:lpwstr>
      </vt:variant>
      <vt:variant>
        <vt:lpwstr/>
      </vt:variant>
      <vt:variant>
        <vt:i4>7864430</vt:i4>
      </vt:variant>
      <vt:variant>
        <vt:i4>231</vt:i4>
      </vt:variant>
      <vt:variant>
        <vt:i4>0</vt:i4>
      </vt:variant>
      <vt:variant>
        <vt:i4>5</vt:i4>
      </vt:variant>
      <vt:variant>
        <vt:lpwstr>https://doi.org/10.1177%2F0007650309332378</vt:lpwstr>
      </vt:variant>
      <vt:variant>
        <vt:lpwstr/>
      </vt:variant>
      <vt:variant>
        <vt:i4>262148</vt:i4>
      </vt:variant>
      <vt:variant>
        <vt:i4>228</vt:i4>
      </vt:variant>
      <vt:variant>
        <vt:i4>0</vt:i4>
      </vt:variant>
      <vt:variant>
        <vt:i4>5</vt:i4>
      </vt:variant>
      <vt:variant>
        <vt:lpwstr>http://ressources.aunege.fr/nuxeo/site/esupversions/c9c186ba-f7d5-4ebe-bd74-d375387f45e8/res/res.pdf</vt:lpwstr>
      </vt:variant>
      <vt:variant>
        <vt:lpwstr/>
      </vt:variant>
      <vt:variant>
        <vt:i4>1376280</vt:i4>
      </vt:variant>
      <vt:variant>
        <vt:i4>225</vt:i4>
      </vt:variant>
      <vt:variant>
        <vt:i4>0</vt:i4>
      </vt:variant>
      <vt:variant>
        <vt:i4>5</vt:i4>
      </vt:variant>
      <vt:variant>
        <vt:lpwstr>https://ungc-production.s3.us-west-2.amazonaws.com/attachments/cop_2020/488306/original/UNGC_communication_of_progress_August_2020.pdf?1598006632</vt:lpwstr>
      </vt:variant>
      <vt:variant>
        <vt:lpwstr/>
      </vt:variant>
      <vt:variant>
        <vt:i4>5308509</vt:i4>
      </vt:variant>
      <vt:variant>
        <vt:i4>222</vt:i4>
      </vt:variant>
      <vt:variant>
        <vt:i4>0</vt:i4>
      </vt:variant>
      <vt:variant>
        <vt:i4>5</vt:i4>
      </vt:variant>
      <vt:variant>
        <vt:lpwstr>https://doi.org/10.5465/amr.2005.15281448</vt:lpwstr>
      </vt:variant>
      <vt:variant>
        <vt:lpwstr/>
      </vt:variant>
      <vt:variant>
        <vt:i4>1835102</vt:i4>
      </vt:variant>
      <vt:variant>
        <vt:i4>219</vt:i4>
      </vt:variant>
      <vt:variant>
        <vt:i4>0</vt:i4>
      </vt:variant>
      <vt:variant>
        <vt:i4>5</vt:i4>
      </vt:variant>
      <vt:variant>
        <vt:lpwstr>https://doi.org/10.1177/0007650309345420</vt:lpwstr>
      </vt:variant>
      <vt:variant>
        <vt:lpwstr/>
      </vt:variant>
      <vt:variant>
        <vt:i4>6160464</vt:i4>
      </vt:variant>
      <vt:variant>
        <vt:i4>216</vt:i4>
      </vt:variant>
      <vt:variant>
        <vt:i4>0</vt:i4>
      </vt:variant>
      <vt:variant>
        <vt:i4>5</vt:i4>
      </vt:variant>
      <vt:variant>
        <vt:lpwstr>https://www.legislation.gov.uk/understanding-legislation</vt:lpwstr>
      </vt:variant>
      <vt:variant>
        <vt:lpwstr/>
      </vt:variant>
      <vt:variant>
        <vt:i4>3342455</vt:i4>
      </vt:variant>
      <vt:variant>
        <vt:i4>213</vt:i4>
      </vt:variant>
      <vt:variant>
        <vt:i4>0</vt:i4>
      </vt:variant>
      <vt:variant>
        <vt:i4>5</vt:i4>
      </vt:variant>
      <vt:variant>
        <vt:lpwstr>https://doi.org/10.1051/e3sconf/20161000129</vt:lpwstr>
      </vt:variant>
      <vt:variant>
        <vt:lpwstr/>
      </vt:variant>
      <vt:variant>
        <vt:i4>1704007</vt:i4>
      </vt:variant>
      <vt:variant>
        <vt:i4>210</vt:i4>
      </vt:variant>
      <vt:variant>
        <vt:i4>0</vt:i4>
      </vt:variant>
      <vt:variant>
        <vt:i4>5</vt:i4>
      </vt:variant>
      <vt:variant>
        <vt:lpwstr>https://www.um.edu.mt/library/oar/handle/123456789/53881</vt:lpwstr>
      </vt:variant>
      <vt:variant>
        <vt:lpwstr/>
      </vt:variant>
      <vt:variant>
        <vt:i4>7209077</vt:i4>
      </vt:variant>
      <vt:variant>
        <vt:i4>207</vt:i4>
      </vt:variant>
      <vt:variant>
        <vt:i4>0</vt:i4>
      </vt:variant>
      <vt:variant>
        <vt:i4>5</vt:i4>
      </vt:variant>
      <vt:variant>
        <vt:lpwstr>https://doi.org/10.3351/ppp.0008.0003.0002</vt:lpwstr>
      </vt:variant>
      <vt:variant>
        <vt:lpwstr/>
      </vt:variant>
      <vt:variant>
        <vt:i4>3932259</vt:i4>
      </vt:variant>
      <vt:variant>
        <vt:i4>204</vt:i4>
      </vt:variant>
      <vt:variant>
        <vt:i4>0</vt:i4>
      </vt:variant>
      <vt:variant>
        <vt:i4>5</vt:i4>
      </vt:variant>
      <vt:variant>
        <vt:lpwstr>https://doi.org/10.1016/j.enpol.2015.01.041</vt:lpwstr>
      </vt:variant>
      <vt:variant>
        <vt:lpwstr/>
      </vt:variant>
      <vt:variant>
        <vt:i4>5767256</vt:i4>
      </vt:variant>
      <vt:variant>
        <vt:i4>201</vt:i4>
      </vt:variant>
      <vt:variant>
        <vt:i4>0</vt:i4>
      </vt:variant>
      <vt:variant>
        <vt:i4>5</vt:i4>
      </vt:variant>
      <vt:variant>
        <vt:lpwstr>https://doi.org/10.1016/j.respol.2010.10.010</vt:lpwstr>
      </vt:variant>
      <vt:variant>
        <vt:lpwstr/>
      </vt:variant>
      <vt:variant>
        <vt:i4>3866740</vt:i4>
      </vt:variant>
      <vt:variant>
        <vt:i4>198</vt:i4>
      </vt:variant>
      <vt:variant>
        <vt:i4>0</vt:i4>
      </vt:variant>
      <vt:variant>
        <vt:i4>5</vt:i4>
      </vt:variant>
      <vt:variant>
        <vt:lpwstr>https://www.iea.org/reports/energy-policies-of-iea-countries-united-kingdom-2019-review</vt:lpwstr>
      </vt:variant>
      <vt:variant>
        <vt:lpwstr/>
      </vt:variant>
      <vt:variant>
        <vt:i4>1835035</vt:i4>
      </vt:variant>
      <vt:variant>
        <vt:i4>195</vt:i4>
      </vt:variant>
      <vt:variant>
        <vt:i4>0</vt:i4>
      </vt:variant>
      <vt:variant>
        <vt:i4>5</vt:i4>
      </vt:variant>
      <vt:variant>
        <vt:lpwstr>http://www.legislation.gov.uk/ukpga/2008/27/pdfs/ukpga_20080027_en.pdf</vt:lpwstr>
      </vt:variant>
      <vt:variant>
        <vt:lpwstr/>
      </vt:variant>
      <vt:variant>
        <vt:i4>3604578</vt:i4>
      </vt:variant>
      <vt:variant>
        <vt:i4>192</vt:i4>
      </vt:variant>
      <vt:variant>
        <vt:i4>0</vt:i4>
      </vt:variant>
      <vt:variant>
        <vt:i4>5</vt:i4>
      </vt:variant>
      <vt:variant>
        <vt:lpwstr>https://doi.org/10.1016/j.enpol.2013.10.083</vt:lpwstr>
      </vt:variant>
      <vt:variant>
        <vt:lpwstr/>
      </vt:variant>
      <vt:variant>
        <vt:i4>4653120</vt:i4>
      </vt:variant>
      <vt:variant>
        <vt:i4>189</vt:i4>
      </vt:variant>
      <vt:variant>
        <vt:i4>0</vt:i4>
      </vt:variant>
      <vt:variant>
        <vt:i4>5</vt:i4>
      </vt:variant>
      <vt:variant>
        <vt:lpwstr>https://doi.org/10.1108/EJM-10-2011-0568</vt:lpwstr>
      </vt:variant>
      <vt:variant>
        <vt:lpwstr/>
      </vt:variant>
      <vt:variant>
        <vt:i4>851999</vt:i4>
      </vt:variant>
      <vt:variant>
        <vt:i4>186</vt:i4>
      </vt:variant>
      <vt:variant>
        <vt:i4>0</vt:i4>
      </vt:variant>
      <vt:variant>
        <vt:i4>5</vt:i4>
      </vt:variant>
      <vt:variant>
        <vt:lpwstr>https://doi.org/10.1007/s10551-011-0772-6</vt:lpwstr>
      </vt:variant>
      <vt:variant>
        <vt:lpwstr/>
      </vt:variant>
      <vt:variant>
        <vt:i4>3604590</vt:i4>
      </vt:variant>
      <vt:variant>
        <vt:i4>183</vt:i4>
      </vt:variant>
      <vt:variant>
        <vt:i4>0</vt:i4>
      </vt:variant>
      <vt:variant>
        <vt:i4>5</vt:i4>
      </vt:variant>
      <vt:variant>
        <vt:lpwstr>https://doi.org/10.5547/01956574.39.6.mgru</vt:lpwstr>
      </vt:variant>
      <vt:variant>
        <vt:lpwstr/>
      </vt:variant>
      <vt:variant>
        <vt:i4>3670122</vt:i4>
      </vt:variant>
      <vt:variant>
        <vt:i4>180</vt:i4>
      </vt:variant>
      <vt:variant>
        <vt:i4>0</vt:i4>
      </vt:variant>
      <vt:variant>
        <vt:i4>5</vt:i4>
      </vt:variant>
      <vt:variant>
        <vt:lpwstr>https://doi.org/10.1016/j.enpol.2005.09.004</vt:lpwstr>
      </vt:variant>
      <vt:variant>
        <vt:lpwstr/>
      </vt:variant>
      <vt:variant>
        <vt:i4>983050</vt:i4>
      </vt:variant>
      <vt:variant>
        <vt:i4>177</vt:i4>
      </vt:variant>
      <vt:variant>
        <vt:i4>0</vt:i4>
      </vt:variant>
      <vt:variant>
        <vt:i4>5</vt:i4>
      </vt:variant>
      <vt:variant>
        <vt:lpwstr>https://my-ibisworld-com.winchester.idm.oclc.org/uk/en/industry/d35.110/about</vt:lpwstr>
      </vt:variant>
      <vt:variant>
        <vt:lpwstr/>
      </vt:variant>
      <vt:variant>
        <vt:i4>6225950</vt:i4>
      </vt:variant>
      <vt:variant>
        <vt:i4>174</vt:i4>
      </vt:variant>
      <vt:variant>
        <vt:i4>0</vt:i4>
      </vt:variant>
      <vt:variant>
        <vt:i4>5</vt:i4>
      </vt:variant>
      <vt:variant>
        <vt:lpwstr>https://doi.org/10.1016/j.econmod.2013.06.023</vt:lpwstr>
      </vt:variant>
      <vt:variant>
        <vt:lpwstr/>
      </vt:variant>
      <vt:variant>
        <vt:i4>4128870</vt:i4>
      </vt:variant>
      <vt:variant>
        <vt:i4>171</vt:i4>
      </vt:variant>
      <vt:variant>
        <vt:i4>0</vt:i4>
      </vt:variant>
      <vt:variant>
        <vt:i4>5</vt:i4>
      </vt:variant>
      <vt:variant>
        <vt:lpwstr>https://doi.org/10.1016/j.enpol.2012.04.001</vt:lpwstr>
      </vt:variant>
      <vt:variant>
        <vt:lpwstr/>
      </vt:variant>
      <vt:variant>
        <vt:i4>6029376</vt:i4>
      </vt:variant>
      <vt:variant>
        <vt:i4>168</vt:i4>
      </vt:variant>
      <vt:variant>
        <vt:i4>0</vt:i4>
      </vt:variant>
      <vt:variant>
        <vt:i4>5</vt:i4>
      </vt:variant>
      <vt:variant>
        <vt:lpwstr>https://doi.org/10.1016/j.marpol.2017.09.019</vt:lpwstr>
      </vt:variant>
      <vt:variant>
        <vt:lpwstr/>
      </vt:variant>
      <vt:variant>
        <vt:i4>3997805</vt:i4>
      </vt:variant>
      <vt:variant>
        <vt:i4>165</vt:i4>
      </vt:variant>
      <vt:variant>
        <vt:i4>0</vt:i4>
      </vt:variant>
      <vt:variant>
        <vt:i4>5</vt:i4>
      </vt:variant>
      <vt:variant>
        <vt:lpwstr>https://doi.org/10.1002/tqem.3310080106</vt:lpwstr>
      </vt:variant>
      <vt:variant>
        <vt:lpwstr/>
      </vt:variant>
      <vt:variant>
        <vt:i4>7143463</vt:i4>
      </vt:variant>
      <vt:variant>
        <vt:i4>162</vt:i4>
      </vt:variant>
      <vt:variant>
        <vt:i4>0</vt:i4>
      </vt:variant>
      <vt:variant>
        <vt:i4>5</vt:i4>
      </vt:variant>
      <vt:variant>
        <vt:lpwstr>https://www.edfenergy.com/about/sustainability</vt:lpwstr>
      </vt:variant>
      <vt:variant>
        <vt:lpwstr/>
      </vt:variant>
      <vt:variant>
        <vt:i4>5242916</vt:i4>
      </vt:variant>
      <vt:variant>
        <vt:i4>159</vt:i4>
      </vt:variant>
      <vt:variant>
        <vt:i4>0</vt:i4>
      </vt:variant>
      <vt:variant>
        <vt:i4>5</vt:i4>
      </vt:variant>
      <vt:variant>
        <vt:lpwstr>https://www.edfenergy.com/energy-efficiency?_ga=2.90878174.579570668.1613988627-218410336.1613988627</vt:lpwstr>
      </vt:variant>
      <vt:variant>
        <vt:lpwstr/>
      </vt:variant>
      <vt:variant>
        <vt:i4>2162763</vt:i4>
      </vt:variant>
      <vt:variant>
        <vt:i4>156</vt:i4>
      </vt:variant>
      <vt:variant>
        <vt:i4>0</vt:i4>
      </vt:variant>
      <vt:variant>
        <vt:i4>5</vt:i4>
      </vt:variant>
      <vt:variant>
        <vt:lpwstr>https://www.edfenergy.com/sites/default/files/the_better_plan_2019_performance_summary_-_h2806.pdf</vt:lpwstr>
      </vt:variant>
      <vt:variant>
        <vt:lpwstr/>
      </vt:variant>
      <vt:variant>
        <vt:i4>1441883</vt:i4>
      </vt:variant>
      <vt:variant>
        <vt:i4>153</vt:i4>
      </vt:variant>
      <vt:variant>
        <vt:i4>0</vt:i4>
      </vt:variant>
      <vt:variant>
        <vt:i4>5</vt:i4>
      </vt:variant>
      <vt:variant>
        <vt:lpwstr>https://www.drax.com/sustainability/</vt:lpwstr>
      </vt:variant>
      <vt:variant>
        <vt:lpwstr/>
      </vt:variant>
      <vt:variant>
        <vt:i4>2555912</vt:i4>
      </vt:variant>
      <vt:variant>
        <vt:i4>150</vt:i4>
      </vt:variant>
      <vt:variant>
        <vt:i4>0</vt:i4>
      </vt:variant>
      <vt:variant>
        <vt:i4>5</vt:i4>
      </vt:variant>
      <vt:variant>
        <vt:lpwstr>https://www.drax.com/wp-content/uploads/2021/03/Drax_AR2020.pdf</vt:lpwstr>
      </vt:variant>
      <vt:variant>
        <vt:lpwstr/>
      </vt:variant>
      <vt:variant>
        <vt:i4>5111837</vt:i4>
      </vt:variant>
      <vt:variant>
        <vt:i4>147</vt:i4>
      </vt:variant>
      <vt:variant>
        <vt:i4>0</vt:i4>
      </vt:variant>
      <vt:variant>
        <vt:i4>5</vt:i4>
      </vt:variant>
      <vt:variant>
        <vt:lpwstr>https://doi.org/10.1016/j.jenvman.2017.01.074</vt:lpwstr>
      </vt:variant>
      <vt:variant>
        <vt:lpwstr/>
      </vt:variant>
      <vt:variant>
        <vt:i4>4456528</vt:i4>
      </vt:variant>
      <vt:variant>
        <vt:i4>144</vt:i4>
      </vt:variant>
      <vt:variant>
        <vt:i4>0</vt:i4>
      </vt:variant>
      <vt:variant>
        <vt:i4>5</vt:i4>
      </vt:variant>
      <vt:variant>
        <vt:lpwstr>https://doi.org/10.1108/JGR-02-2017-0011</vt:lpwstr>
      </vt:variant>
      <vt:variant>
        <vt:lpwstr/>
      </vt:variant>
      <vt:variant>
        <vt:i4>2424873</vt:i4>
      </vt:variant>
      <vt:variant>
        <vt:i4>141</vt:i4>
      </vt:variant>
      <vt:variant>
        <vt:i4>0</vt:i4>
      </vt:variant>
      <vt:variant>
        <vt:i4>5</vt:i4>
      </vt:variant>
      <vt:variant>
        <vt:lpwstr>https://doi.org/10.1016/j.rser.2009.07.013</vt:lpwstr>
      </vt:variant>
      <vt:variant>
        <vt:lpwstr/>
      </vt:variant>
      <vt:variant>
        <vt:i4>786450</vt:i4>
      </vt:variant>
      <vt:variant>
        <vt:i4>138</vt:i4>
      </vt:variant>
      <vt:variant>
        <vt:i4>0</vt:i4>
      </vt:variant>
      <vt:variant>
        <vt:i4>5</vt:i4>
      </vt:variant>
      <vt:variant>
        <vt:lpwstr>https://doi.org/10.1186/s40991-016-0004-6</vt:lpwstr>
      </vt:variant>
      <vt:variant>
        <vt:lpwstr/>
      </vt:variant>
      <vt:variant>
        <vt:i4>5046296</vt:i4>
      </vt:variant>
      <vt:variant>
        <vt:i4>135</vt:i4>
      </vt:variant>
      <vt:variant>
        <vt:i4>0</vt:i4>
      </vt:variant>
      <vt:variant>
        <vt:i4>5</vt:i4>
      </vt:variant>
      <vt:variant>
        <vt:lpwstr>https://aseestant.ceon.rs/index.php/industrija/article/view/5131/1835</vt:lpwstr>
      </vt:variant>
      <vt:variant>
        <vt:lpwstr/>
      </vt:variant>
      <vt:variant>
        <vt:i4>5242965</vt:i4>
      </vt:variant>
      <vt:variant>
        <vt:i4>132</vt:i4>
      </vt:variant>
      <vt:variant>
        <vt:i4>0</vt:i4>
      </vt:variant>
      <vt:variant>
        <vt:i4>5</vt:i4>
      </vt:variant>
      <vt:variant>
        <vt:lpwstr>https://doi.org/10.1177/0263774x15619628</vt:lpwstr>
      </vt:variant>
      <vt:variant>
        <vt:lpwstr/>
      </vt:variant>
      <vt:variant>
        <vt:i4>7143456</vt:i4>
      </vt:variant>
      <vt:variant>
        <vt:i4>129</vt:i4>
      </vt:variant>
      <vt:variant>
        <vt:i4>0</vt:i4>
      </vt:variant>
      <vt:variant>
        <vt:i4>5</vt:i4>
      </vt:variant>
      <vt:variant>
        <vt:lpwstr>https://doi.org/10.1108/SD-03-2014-0035</vt:lpwstr>
      </vt:variant>
      <vt:variant>
        <vt:lpwstr/>
      </vt:variant>
      <vt:variant>
        <vt:i4>262216</vt:i4>
      </vt:variant>
      <vt:variant>
        <vt:i4>126</vt:i4>
      </vt:variant>
      <vt:variant>
        <vt:i4>0</vt:i4>
      </vt:variant>
      <vt:variant>
        <vt:i4>5</vt:i4>
      </vt:variant>
      <vt:variant>
        <vt:lpwstr>https://doi.org/10.1080/00014788.2015.1135781</vt:lpwstr>
      </vt:variant>
      <vt:variant>
        <vt:lpwstr/>
      </vt:variant>
      <vt:variant>
        <vt:i4>5242963</vt:i4>
      </vt:variant>
      <vt:variant>
        <vt:i4>123</vt:i4>
      </vt:variant>
      <vt:variant>
        <vt:i4>0</vt:i4>
      </vt:variant>
      <vt:variant>
        <vt:i4>5</vt:i4>
      </vt:variant>
      <vt:variant>
        <vt:lpwstr>https://doi.org/10.1016/j.accfor.2008.05.002</vt:lpwstr>
      </vt:variant>
      <vt:variant>
        <vt:lpwstr/>
      </vt:variant>
      <vt:variant>
        <vt:i4>1376307</vt:i4>
      </vt:variant>
      <vt:variant>
        <vt:i4>116</vt:i4>
      </vt:variant>
      <vt:variant>
        <vt:i4>0</vt:i4>
      </vt:variant>
      <vt:variant>
        <vt:i4>5</vt:i4>
      </vt:variant>
      <vt:variant>
        <vt:lpwstr/>
      </vt:variant>
      <vt:variant>
        <vt:lpwstr>_Toc68796340</vt:lpwstr>
      </vt:variant>
      <vt:variant>
        <vt:i4>1835060</vt:i4>
      </vt:variant>
      <vt:variant>
        <vt:i4>110</vt:i4>
      </vt:variant>
      <vt:variant>
        <vt:i4>0</vt:i4>
      </vt:variant>
      <vt:variant>
        <vt:i4>5</vt:i4>
      </vt:variant>
      <vt:variant>
        <vt:lpwstr/>
      </vt:variant>
      <vt:variant>
        <vt:lpwstr>_Toc68796339</vt:lpwstr>
      </vt:variant>
      <vt:variant>
        <vt:i4>1900596</vt:i4>
      </vt:variant>
      <vt:variant>
        <vt:i4>104</vt:i4>
      </vt:variant>
      <vt:variant>
        <vt:i4>0</vt:i4>
      </vt:variant>
      <vt:variant>
        <vt:i4>5</vt:i4>
      </vt:variant>
      <vt:variant>
        <vt:lpwstr/>
      </vt:variant>
      <vt:variant>
        <vt:lpwstr>_Toc68796338</vt:lpwstr>
      </vt:variant>
      <vt:variant>
        <vt:i4>1179700</vt:i4>
      </vt:variant>
      <vt:variant>
        <vt:i4>98</vt:i4>
      </vt:variant>
      <vt:variant>
        <vt:i4>0</vt:i4>
      </vt:variant>
      <vt:variant>
        <vt:i4>5</vt:i4>
      </vt:variant>
      <vt:variant>
        <vt:lpwstr/>
      </vt:variant>
      <vt:variant>
        <vt:lpwstr>_Toc68796337</vt:lpwstr>
      </vt:variant>
      <vt:variant>
        <vt:i4>1245236</vt:i4>
      </vt:variant>
      <vt:variant>
        <vt:i4>92</vt:i4>
      </vt:variant>
      <vt:variant>
        <vt:i4>0</vt:i4>
      </vt:variant>
      <vt:variant>
        <vt:i4>5</vt:i4>
      </vt:variant>
      <vt:variant>
        <vt:lpwstr/>
      </vt:variant>
      <vt:variant>
        <vt:lpwstr>_Toc68796336</vt:lpwstr>
      </vt:variant>
      <vt:variant>
        <vt:i4>1048628</vt:i4>
      </vt:variant>
      <vt:variant>
        <vt:i4>86</vt:i4>
      </vt:variant>
      <vt:variant>
        <vt:i4>0</vt:i4>
      </vt:variant>
      <vt:variant>
        <vt:i4>5</vt:i4>
      </vt:variant>
      <vt:variant>
        <vt:lpwstr/>
      </vt:variant>
      <vt:variant>
        <vt:lpwstr>_Toc68796335</vt:lpwstr>
      </vt:variant>
      <vt:variant>
        <vt:i4>1114164</vt:i4>
      </vt:variant>
      <vt:variant>
        <vt:i4>80</vt:i4>
      </vt:variant>
      <vt:variant>
        <vt:i4>0</vt:i4>
      </vt:variant>
      <vt:variant>
        <vt:i4>5</vt:i4>
      </vt:variant>
      <vt:variant>
        <vt:lpwstr/>
      </vt:variant>
      <vt:variant>
        <vt:lpwstr>_Toc68796334</vt:lpwstr>
      </vt:variant>
      <vt:variant>
        <vt:i4>1441844</vt:i4>
      </vt:variant>
      <vt:variant>
        <vt:i4>74</vt:i4>
      </vt:variant>
      <vt:variant>
        <vt:i4>0</vt:i4>
      </vt:variant>
      <vt:variant>
        <vt:i4>5</vt:i4>
      </vt:variant>
      <vt:variant>
        <vt:lpwstr/>
      </vt:variant>
      <vt:variant>
        <vt:lpwstr>_Toc68796333</vt:lpwstr>
      </vt:variant>
      <vt:variant>
        <vt:i4>1507380</vt:i4>
      </vt:variant>
      <vt:variant>
        <vt:i4>68</vt:i4>
      </vt:variant>
      <vt:variant>
        <vt:i4>0</vt:i4>
      </vt:variant>
      <vt:variant>
        <vt:i4>5</vt:i4>
      </vt:variant>
      <vt:variant>
        <vt:lpwstr/>
      </vt:variant>
      <vt:variant>
        <vt:lpwstr>_Toc68796332</vt:lpwstr>
      </vt:variant>
      <vt:variant>
        <vt:i4>1310772</vt:i4>
      </vt:variant>
      <vt:variant>
        <vt:i4>62</vt:i4>
      </vt:variant>
      <vt:variant>
        <vt:i4>0</vt:i4>
      </vt:variant>
      <vt:variant>
        <vt:i4>5</vt:i4>
      </vt:variant>
      <vt:variant>
        <vt:lpwstr/>
      </vt:variant>
      <vt:variant>
        <vt:lpwstr>_Toc68796331</vt:lpwstr>
      </vt:variant>
      <vt:variant>
        <vt:i4>1376308</vt:i4>
      </vt:variant>
      <vt:variant>
        <vt:i4>56</vt:i4>
      </vt:variant>
      <vt:variant>
        <vt:i4>0</vt:i4>
      </vt:variant>
      <vt:variant>
        <vt:i4>5</vt:i4>
      </vt:variant>
      <vt:variant>
        <vt:lpwstr/>
      </vt:variant>
      <vt:variant>
        <vt:lpwstr>_Toc68796330</vt:lpwstr>
      </vt:variant>
      <vt:variant>
        <vt:i4>1835061</vt:i4>
      </vt:variant>
      <vt:variant>
        <vt:i4>50</vt:i4>
      </vt:variant>
      <vt:variant>
        <vt:i4>0</vt:i4>
      </vt:variant>
      <vt:variant>
        <vt:i4>5</vt:i4>
      </vt:variant>
      <vt:variant>
        <vt:lpwstr/>
      </vt:variant>
      <vt:variant>
        <vt:lpwstr>_Toc68796329</vt:lpwstr>
      </vt:variant>
      <vt:variant>
        <vt:i4>1900597</vt:i4>
      </vt:variant>
      <vt:variant>
        <vt:i4>44</vt:i4>
      </vt:variant>
      <vt:variant>
        <vt:i4>0</vt:i4>
      </vt:variant>
      <vt:variant>
        <vt:i4>5</vt:i4>
      </vt:variant>
      <vt:variant>
        <vt:lpwstr/>
      </vt:variant>
      <vt:variant>
        <vt:lpwstr>_Toc68796328</vt:lpwstr>
      </vt:variant>
      <vt:variant>
        <vt:i4>1179701</vt:i4>
      </vt:variant>
      <vt:variant>
        <vt:i4>38</vt:i4>
      </vt:variant>
      <vt:variant>
        <vt:i4>0</vt:i4>
      </vt:variant>
      <vt:variant>
        <vt:i4>5</vt:i4>
      </vt:variant>
      <vt:variant>
        <vt:lpwstr/>
      </vt:variant>
      <vt:variant>
        <vt:lpwstr>_Toc68796327</vt:lpwstr>
      </vt:variant>
      <vt:variant>
        <vt:i4>1245237</vt:i4>
      </vt:variant>
      <vt:variant>
        <vt:i4>32</vt:i4>
      </vt:variant>
      <vt:variant>
        <vt:i4>0</vt:i4>
      </vt:variant>
      <vt:variant>
        <vt:i4>5</vt:i4>
      </vt:variant>
      <vt:variant>
        <vt:lpwstr/>
      </vt:variant>
      <vt:variant>
        <vt:lpwstr>_Toc68796326</vt:lpwstr>
      </vt:variant>
      <vt:variant>
        <vt:i4>1048629</vt:i4>
      </vt:variant>
      <vt:variant>
        <vt:i4>26</vt:i4>
      </vt:variant>
      <vt:variant>
        <vt:i4>0</vt:i4>
      </vt:variant>
      <vt:variant>
        <vt:i4>5</vt:i4>
      </vt:variant>
      <vt:variant>
        <vt:lpwstr/>
      </vt:variant>
      <vt:variant>
        <vt:lpwstr>_Toc68796325</vt:lpwstr>
      </vt:variant>
      <vt:variant>
        <vt:i4>1114165</vt:i4>
      </vt:variant>
      <vt:variant>
        <vt:i4>20</vt:i4>
      </vt:variant>
      <vt:variant>
        <vt:i4>0</vt:i4>
      </vt:variant>
      <vt:variant>
        <vt:i4>5</vt:i4>
      </vt:variant>
      <vt:variant>
        <vt:lpwstr/>
      </vt:variant>
      <vt:variant>
        <vt:lpwstr>_Toc68796324</vt:lpwstr>
      </vt:variant>
      <vt:variant>
        <vt:i4>1441845</vt:i4>
      </vt:variant>
      <vt:variant>
        <vt:i4>14</vt:i4>
      </vt:variant>
      <vt:variant>
        <vt:i4>0</vt:i4>
      </vt:variant>
      <vt:variant>
        <vt:i4>5</vt:i4>
      </vt:variant>
      <vt:variant>
        <vt:lpwstr/>
      </vt:variant>
      <vt:variant>
        <vt:lpwstr>_Toc68796323</vt:lpwstr>
      </vt:variant>
      <vt:variant>
        <vt:i4>1507381</vt:i4>
      </vt:variant>
      <vt:variant>
        <vt:i4>8</vt:i4>
      </vt:variant>
      <vt:variant>
        <vt:i4>0</vt:i4>
      </vt:variant>
      <vt:variant>
        <vt:i4>5</vt:i4>
      </vt:variant>
      <vt:variant>
        <vt:lpwstr/>
      </vt:variant>
      <vt:variant>
        <vt:lpwstr>_Toc68796322</vt:lpwstr>
      </vt:variant>
      <vt:variant>
        <vt:i4>1310773</vt:i4>
      </vt:variant>
      <vt:variant>
        <vt:i4>2</vt:i4>
      </vt:variant>
      <vt:variant>
        <vt:i4>0</vt:i4>
      </vt:variant>
      <vt:variant>
        <vt:i4>5</vt:i4>
      </vt:variant>
      <vt:variant>
        <vt:lpwstr/>
      </vt:variant>
      <vt:variant>
        <vt:lpwstr>_Toc68796321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A.Garnett.19</dc:creator>
  <cp:lastModifiedBy>Jonathan</cp:lastModifiedBy>
  <cp:revision>2</cp:revision>
  <cp:lastPrinted>2021-04-13T10:15:00Z</cp:lastPrinted>
  <dcterms:created xsi:type="dcterms:W3CDTF">2022-10-17T08:32:00Z</dcterms:created>
  <dcterms:modified xsi:type="dcterms:W3CDTF">2022-10-17T08:32:00Z</dcterms:modified>
</cp:coreProperties>
</file>