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5871" w:rsidRDefault="00972067">
      <w:pPr>
        <w:pStyle w:val="BodyA"/>
      </w:pPr>
      <w:r>
        <w:rPr>
          <w:noProof/>
          <w:lang w:val="en-GB"/>
        </w:rPr>
        <mc:AlternateContent>
          <mc:Choice Requires="wps">
            <w:drawing>
              <wp:anchor distT="0" distB="0" distL="0" distR="0" simplePos="0" relativeHeight="251659264" behindDoc="0" locked="0" layoutInCell="1" allowOverlap="1">
                <wp:simplePos x="0" y="0"/>
                <wp:positionH relativeFrom="page">
                  <wp:posOffset>-113900</wp:posOffset>
                </wp:positionH>
                <wp:positionV relativeFrom="page">
                  <wp:posOffset>0</wp:posOffset>
                </wp:positionV>
                <wp:extent cx="7667701" cy="10679304"/>
                <wp:effectExtent l="0" t="0" r="0" b="0"/>
                <wp:wrapNone/>
                <wp:docPr id="1073741825" name="officeArt object" descr="Rectangle 6"/>
                <wp:cNvGraphicFramePr/>
                <a:graphic xmlns:a="http://schemas.openxmlformats.org/drawingml/2006/main">
                  <a:graphicData uri="http://schemas.microsoft.com/office/word/2010/wordprocessingShape">
                    <wps:wsp>
                      <wps:cNvSpPr/>
                      <wps:spPr>
                        <a:xfrm>
                          <a:off x="0" y="0"/>
                          <a:ext cx="7667701" cy="10679304"/>
                        </a:xfrm>
                        <a:prstGeom prst="rect">
                          <a:avLst/>
                        </a:prstGeom>
                        <a:solidFill>
                          <a:srgbClr val="002A3A"/>
                        </a:solidFill>
                        <a:ln w="12700" cap="flat">
                          <a:noFill/>
                          <a:miter lim="400000"/>
                        </a:ln>
                        <a:effectLst/>
                      </wps:spPr>
                      <wps:bodyPr/>
                    </wps:wsp>
                  </a:graphicData>
                </a:graphic>
              </wp:anchor>
            </w:drawing>
          </mc:Choice>
          <mc:Fallback>
            <w:pict>
              <v:rect id="_x0000_s1026" style="visibility:visible;position:absolute;margin-left:-9.0pt;margin-top:0.0pt;width:603.8pt;height:840.9pt;z-index:251659264;mso-position-horizontal:absolute;mso-position-horizontal-relative:page;mso-position-vertical:absolute;mso-position-vertical-relative:page;mso-wrap-distance-left:0.0pt;mso-wrap-distance-top:0.0pt;mso-wrap-distance-right:0.0pt;mso-wrap-distance-bottom:0.0pt;">
                <v:fill color="#002A3A"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725871" w:rsidRDefault="00972067">
      <w:pPr>
        <w:pStyle w:val="BodyA"/>
        <w:sectPr w:rsidR="00725871">
          <w:headerReference w:type="default" r:id="rId8"/>
          <w:footerReference w:type="default" r:id="rId9"/>
          <w:pgSz w:w="11900" w:h="16840"/>
          <w:pgMar w:top="1134" w:right="1134" w:bottom="1134" w:left="1134" w:header="709" w:footer="850" w:gutter="0"/>
          <w:cols w:space="720"/>
        </w:sectPr>
      </w:pPr>
      <w:r>
        <w:rPr>
          <w:noProof/>
          <w:lang w:val="en-GB"/>
        </w:rPr>
        <w:drawing>
          <wp:anchor distT="0" distB="0" distL="0" distR="0" simplePos="0" relativeHeight="251663360" behindDoc="0" locked="0" layoutInCell="1" allowOverlap="1">
            <wp:simplePos x="0" y="0"/>
            <wp:positionH relativeFrom="page">
              <wp:posOffset>1004169</wp:posOffset>
            </wp:positionH>
            <wp:positionV relativeFrom="line">
              <wp:posOffset>8267837</wp:posOffset>
            </wp:positionV>
            <wp:extent cx="1306442" cy="551610"/>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1306442" cy="551610"/>
                    </a:xfrm>
                    <a:prstGeom prst="rect">
                      <a:avLst/>
                    </a:prstGeom>
                    <a:ln w="12700" cap="flat">
                      <a:noFill/>
                      <a:miter lim="400000"/>
                    </a:ln>
                    <a:effectLst/>
                  </pic:spPr>
                </pic:pic>
              </a:graphicData>
            </a:graphic>
          </wp:anchor>
        </w:drawing>
      </w:r>
      <w:r>
        <w:rPr>
          <w:noProof/>
          <w:lang w:val="en-GB"/>
        </w:rPr>
        <mc:AlternateContent>
          <mc:Choice Requires="wps">
            <w:drawing>
              <wp:anchor distT="80010" distB="80010" distL="80010" distR="80010" simplePos="0" relativeHeight="251661312" behindDoc="0" locked="0" layoutInCell="1" allowOverlap="1">
                <wp:simplePos x="0" y="0"/>
                <wp:positionH relativeFrom="page">
                  <wp:posOffset>767561</wp:posOffset>
                </wp:positionH>
                <wp:positionV relativeFrom="line">
                  <wp:posOffset>5971115</wp:posOffset>
                </wp:positionV>
                <wp:extent cx="5904771" cy="2216713"/>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5904771" cy="2216713"/>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725871" w:rsidRDefault="00972067">
                            <w:pPr>
                              <w:pStyle w:val="BodyA"/>
                              <w:spacing w:after="160" w:line="264" w:lineRule="auto"/>
                              <w:rPr>
                                <w:color w:val="FFFFFF"/>
                                <w:sz w:val="32"/>
                                <w:szCs w:val="32"/>
                                <w:u w:color="FFFFFF"/>
                              </w:rPr>
                            </w:pPr>
                            <w:r>
                              <w:rPr>
                                <w:color w:val="FFFFFF"/>
                                <w:sz w:val="32"/>
                                <w:szCs w:val="32"/>
                                <w:u w:color="FFFFFF"/>
                              </w:rPr>
                              <w:t xml:space="preserve">By: Louise </w:t>
                            </w:r>
                            <w:proofErr w:type="spellStart"/>
                            <w:r>
                              <w:rPr>
                                <w:color w:val="FFFFFF"/>
                                <w:sz w:val="32"/>
                                <w:szCs w:val="32"/>
                                <w:u w:color="FFFFFF"/>
                              </w:rPr>
                              <w:t>Fitton</w:t>
                            </w:r>
                            <w:proofErr w:type="spellEnd"/>
                            <w:r>
                              <w:rPr>
                                <w:color w:val="FFFFFF"/>
                                <w:sz w:val="32"/>
                                <w:szCs w:val="32"/>
                                <w:u w:color="FFFFFF"/>
                              </w:rPr>
                              <w:t xml:space="preserve"> </w:t>
                            </w:r>
                          </w:p>
                          <w:p w:rsidR="00725871" w:rsidRDefault="00972067">
                            <w:pPr>
                              <w:pStyle w:val="BodyA"/>
                              <w:spacing w:after="160" w:line="264" w:lineRule="auto"/>
                              <w:rPr>
                                <w:color w:val="FFFFFF"/>
                                <w:sz w:val="32"/>
                                <w:szCs w:val="32"/>
                                <w:u w:color="FFFFFF"/>
                              </w:rPr>
                            </w:pPr>
                            <w:r>
                              <w:rPr>
                                <w:color w:val="FFFFFF"/>
                                <w:sz w:val="32"/>
                                <w:szCs w:val="32"/>
                                <w:u w:color="FFFFFF"/>
                              </w:rPr>
                              <w:t>Student ID: XXX</w:t>
                            </w:r>
                          </w:p>
                          <w:p w:rsidR="00725871" w:rsidRDefault="00972067">
                            <w:pPr>
                              <w:pStyle w:val="BodyA"/>
                              <w:spacing w:after="160" w:line="264" w:lineRule="auto"/>
                              <w:rPr>
                                <w:color w:val="808080"/>
                                <w:sz w:val="32"/>
                                <w:szCs w:val="32"/>
                                <w:u w:color="808080"/>
                              </w:rPr>
                            </w:pPr>
                            <w:r>
                              <w:rPr>
                                <w:color w:val="FFFFFF"/>
                                <w:sz w:val="32"/>
                                <w:szCs w:val="32"/>
                                <w:u w:color="FFFFFF"/>
                                <w:lang w:val="it-IT"/>
                              </w:rPr>
                              <w:t>Tutor</w:t>
                            </w:r>
                            <w:r>
                              <w:rPr>
                                <w:color w:val="FFFFFF"/>
                                <w:sz w:val="32"/>
                                <w:szCs w:val="32"/>
                                <w:u w:color="FFFFFF"/>
                              </w:rPr>
                              <w:t>’</w:t>
                            </w:r>
                            <w:r>
                              <w:rPr>
                                <w:color w:val="FFFFFF"/>
                                <w:sz w:val="32"/>
                                <w:szCs w:val="32"/>
                                <w:u w:color="FFFFFF"/>
                                <w:lang w:val="de-DE"/>
                              </w:rPr>
                              <w:t xml:space="preserve">s Name: </w:t>
                            </w:r>
                            <w:r>
                              <w:rPr>
                                <w:color w:val="FFFFFF"/>
                                <w:sz w:val="32"/>
                                <w:szCs w:val="32"/>
                                <w:u w:color="FFFFFF"/>
                              </w:rPr>
                              <w:t>XXX</w:t>
                            </w:r>
                          </w:p>
                          <w:p w:rsidR="00725871" w:rsidRDefault="00972067">
                            <w:pPr>
                              <w:pStyle w:val="BodyA"/>
                              <w:spacing w:after="160" w:line="264" w:lineRule="auto"/>
                              <w:rPr>
                                <w:color w:val="FFFFFF"/>
                                <w:sz w:val="32"/>
                                <w:szCs w:val="32"/>
                                <w:u w:color="FFFFFF"/>
                              </w:rPr>
                            </w:pPr>
                            <w:r>
                              <w:rPr>
                                <w:color w:val="FFFFFF"/>
                                <w:sz w:val="32"/>
                                <w:szCs w:val="32"/>
                                <w:u w:color="FFFFFF"/>
                              </w:rPr>
                              <w:t>Word Count: 2735 Words</w:t>
                            </w:r>
                          </w:p>
                          <w:p w:rsidR="00725871" w:rsidRDefault="00972067">
                            <w:pPr>
                              <w:pStyle w:val="BodyA"/>
                              <w:spacing w:after="160" w:line="264" w:lineRule="auto"/>
                            </w:pPr>
                            <w:r>
                              <w:rPr>
                                <w:color w:val="FFFFFF"/>
                                <w:sz w:val="32"/>
                                <w:szCs w:val="32"/>
                                <w:u w:color="FFFFFF"/>
                                <w:lang w:val="de-DE"/>
                              </w:rPr>
                              <w:t xml:space="preserve">Submission Date: </w:t>
                            </w:r>
                            <w:r>
                              <w:rPr>
                                <w:color w:val="FFFFFF"/>
                                <w:sz w:val="32"/>
                                <w:szCs w:val="32"/>
                                <w:u w:color="FFFFFF"/>
                              </w:rPr>
                              <w:t>08/01/2019</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60.4pt;margin-top:470.2pt;width:464.9pt;height:174.5pt;z-index:251661312;mso-position-horizontal:absolute;mso-position-horizontal-relative:page;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160" w:line="264" w:lineRule="auto"/>
                        <w:rPr>
                          <w:color w:val="ffffff"/>
                          <w:sz w:val="32"/>
                          <w:szCs w:val="32"/>
                          <w:u w:color="ffffff"/>
                        </w:rPr>
                      </w:pPr>
                      <w:r>
                        <w:rPr>
                          <w:color w:val="ffffff"/>
                          <w:sz w:val="32"/>
                          <w:szCs w:val="32"/>
                          <w:u w:color="ffffff"/>
                          <w:rtl w:val="0"/>
                          <w:lang w:val="en-US"/>
                        </w:rPr>
                        <w:t xml:space="preserve">By: Louise Fitton </w:t>
                      </w:r>
                    </w:p>
                    <w:p>
                      <w:pPr>
                        <w:pStyle w:val="Body A"/>
                        <w:spacing w:after="160" w:line="264" w:lineRule="auto"/>
                        <w:rPr>
                          <w:color w:val="ffffff"/>
                          <w:sz w:val="32"/>
                          <w:szCs w:val="32"/>
                          <w:u w:color="ffffff"/>
                        </w:rPr>
                      </w:pPr>
                      <w:r>
                        <w:rPr>
                          <w:color w:val="ffffff"/>
                          <w:sz w:val="32"/>
                          <w:szCs w:val="32"/>
                          <w:u w:color="ffffff"/>
                          <w:rtl w:val="0"/>
                          <w:lang w:val="en-US"/>
                        </w:rPr>
                        <w:t>Student ID: XXX</w:t>
                      </w:r>
                    </w:p>
                    <w:p>
                      <w:pPr>
                        <w:pStyle w:val="Body A"/>
                        <w:spacing w:after="160" w:line="264" w:lineRule="auto"/>
                        <w:rPr>
                          <w:color w:val="808080"/>
                          <w:sz w:val="32"/>
                          <w:szCs w:val="32"/>
                          <w:u w:color="808080"/>
                        </w:rPr>
                      </w:pPr>
                      <w:r>
                        <w:rPr>
                          <w:color w:val="ffffff"/>
                          <w:sz w:val="32"/>
                          <w:szCs w:val="32"/>
                          <w:u w:color="ffffff"/>
                          <w:rtl w:val="0"/>
                          <w:lang w:val="it-IT"/>
                        </w:rPr>
                        <w:t>Tutor</w:t>
                      </w:r>
                      <w:r>
                        <w:rPr>
                          <w:color w:val="ffffff"/>
                          <w:sz w:val="32"/>
                          <w:szCs w:val="32"/>
                          <w:u w:color="ffffff"/>
                          <w:rtl w:val="0"/>
                          <w:lang w:val="en-US"/>
                        </w:rPr>
                        <w:t>’</w:t>
                      </w:r>
                      <w:r>
                        <w:rPr>
                          <w:color w:val="ffffff"/>
                          <w:sz w:val="32"/>
                          <w:szCs w:val="32"/>
                          <w:u w:color="ffffff"/>
                          <w:rtl w:val="0"/>
                          <w:lang w:val="de-DE"/>
                        </w:rPr>
                        <w:t xml:space="preserve">s Name: </w:t>
                      </w:r>
                      <w:r>
                        <w:rPr>
                          <w:color w:val="ffffff"/>
                          <w:sz w:val="32"/>
                          <w:szCs w:val="32"/>
                          <w:u w:color="ffffff"/>
                          <w:rtl w:val="0"/>
                          <w:lang w:val="en-US"/>
                        </w:rPr>
                        <w:t>XXX</w:t>
                      </w:r>
                      <w:r>
                        <w:rPr>
                          <w:color w:val="808080"/>
                          <w:sz w:val="32"/>
                          <w:szCs w:val="32"/>
                          <w:u w:color="808080"/>
                        </w:rPr>
                      </w:r>
                    </w:p>
                    <w:p>
                      <w:pPr>
                        <w:pStyle w:val="Body A"/>
                        <w:spacing w:after="160" w:line="264" w:lineRule="auto"/>
                        <w:rPr>
                          <w:color w:val="ffffff"/>
                          <w:sz w:val="32"/>
                          <w:szCs w:val="32"/>
                          <w:u w:color="ffffff"/>
                        </w:rPr>
                      </w:pPr>
                      <w:r>
                        <w:rPr>
                          <w:color w:val="ffffff"/>
                          <w:sz w:val="32"/>
                          <w:szCs w:val="32"/>
                          <w:u w:color="ffffff"/>
                          <w:rtl w:val="0"/>
                          <w:lang w:val="en-US"/>
                        </w:rPr>
                        <w:t>Word Count: 2735 Words</w:t>
                      </w:r>
                    </w:p>
                    <w:p>
                      <w:pPr>
                        <w:pStyle w:val="Body A"/>
                        <w:spacing w:after="160" w:line="264" w:lineRule="auto"/>
                      </w:pPr>
                      <w:r>
                        <w:rPr>
                          <w:color w:val="ffffff"/>
                          <w:sz w:val="32"/>
                          <w:szCs w:val="32"/>
                          <w:u w:color="ffffff"/>
                          <w:rtl w:val="0"/>
                          <w:lang w:val="de-DE"/>
                        </w:rPr>
                        <w:t xml:space="preserve">Submission Date: </w:t>
                      </w:r>
                      <w:r>
                        <w:rPr>
                          <w:color w:val="ffffff"/>
                          <w:sz w:val="32"/>
                          <w:szCs w:val="32"/>
                          <w:u w:color="ffffff"/>
                          <w:rtl w:val="0"/>
                          <w:lang w:val="en-US"/>
                        </w:rPr>
                        <w:t>08/01/2019</w:t>
                      </w:r>
                    </w:p>
                  </w:txbxContent>
                </v:textbox>
                <w10:wrap type="square" side="bothSides" anchorx="page"/>
              </v:shape>
            </w:pict>
          </mc:Fallback>
        </mc:AlternateContent>
      </w:r>
      <w:r>
        <w:rPr>
          <w:noProof/>
          <w:lang w:val="en-GB"/>
        </w:rPr>
        <mc:AlternateContent>
          <mc:Choice Requires="wps">
            <w:drawing>
              <wp:anchor distT="80010" distB="80010" distL="80010" distR="80010" simplePos="0" relativeHeight="251662336" behindDoc="0" locked="0" layoutInCell="1" allowOverlap="1">
                <wp:simplePos x="0" y="0"/>
                <wp:positionH relativeFrom="page">
                  <wp:posOffset>682763</wp:posOffset>
                </wp:positionH>
                <wp:positionV relativeFrom="line">
                  <wp:posOffset>3073242</wp:posOffset>
                </wp:positionV>
                <wp:extent cx="6190976" cy="2231390"/>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6190976" cy="2231390"/>
                        </a:xfrm>
                        <a:prstGeom prst="rect">
                          <a:avLst/>
                        </a:prstGeom>
                        <a:noFill/>
                        <a:ln w="25400" cap="flat">
                          <a:solidFill>
                            <a:srgbClr val="FFFFFF"/>
                          </a:solidFill>
                          <a:prstDash val="solid"/>
                          <a:miter lim="400000"/>
                        </a:ln>
                        <a:effectLst/>
                      </wps:spPr>
                      <wps:txbx>
                        <w:txbxContent>
                          <w:p w:rsidR="00725871" w:rsidRDefault="00972067">
                            <w:pPr>
                              <w:pStyle w:val="Title"/>
                              <w:keepNext w:val="0"/>
                              <w:spacing w:after="200" w:line="288" w:lineRule="auto"/>
                              <w:jc w:val="center"/>
                              <w:rPr>
                                <w:rFonts w:ascii="Arial" w:eastAsia="Arial" w:hAnsi="Arial" w:cs="Arial"/>
                                <w:caps/>
                                <w:color w:val="FFFFFF"/>
                                <w:spacing w:val="-10"/>
                                <w:kern w:val="28"/>
                                <w:sz w:val="56"/>
                                <w:szCs w:val="56"/>
                                <w:u w:color="FFFFFF"/>
                              </w:rPr>
                            </w:pPr>
                            <w:r>
                              <w:rPr>
                                <w:rFonts w:ascii="Arial" w:hAnsi="Arial"/>
                                <w:caps/>
                                <w:color w:val="FFFFFF"/>
                                <w:spacing w:val="-10"/>
                                <w:kern w:val="28"/>
                                <w:sz w:val="56"/>
                                <w:szCs w:val="56"/>
                                <w:u w:color="FFFFFF"/>
                              </w:rPr>
                              <w:t>The menstrual movement:</w:t>
                            </w:r>
                          </w:p>
                          <w:p w:rsidR="00725871" w:rsidRDefault="00972067">
                            <w:pPr>
                              <w:pStyle w:val="Title"/>
                              <w:jc w:val="center"/>
                              <w:rPr>
                                <w:rFonts w:ascii="Arial" w:eastAsia="Arial" w:hAnsi="Arial" w:cs="Arial"/>
                                <w:i/>
                                <w:iCs/>
                                <w:color w:val="FEFEFE"/>
                                <w:sz w:val="36"/>
                                <w:szCs w:val="36"/>
                                <w:u w:color="FEFEFE"/>
                              </w:rPr>
                            </w:pPr>
                            <w:r>
                              <w:rPr>
                                <w:rFonts w:ascii="Arial" w:hAnsi="Arial"/>
                                <w:i/>
                                <w:iCs/>
                                <w:color w:val="FEFEFE"/>
                                <w:sz w:val="36"/>
                                <w:szCs w:val="36"/>
                                <w:u w:color="FEFEFE"/>
                              </w:rPr>
                              <w:t xml:space="preserve">An Analysis of the Sustainability of XXX </w:t>
                            </w:r>
                          </w:p>
                          <w:p w:rsidR="00725871" w:rsidRDefault="00972067">
                            <w:pPr>
                              <w:pStyle w:val="Title"/>
                              <w:jc w:val="center"/>
                              <w:rPr>
                                <w:rFonts w:hint="eastAsia"/>
                              </w:rPr>
                            </w:pPr>
                            <w:r>
                              <w:rPr>
                                <w:rFonts w:ascii="Arial" w:hAnsi="Arial"/>
                                <w:i/>
                                <w:iCs/>
                                <w:color w:val="FEFEFE"/>
                                <w:sz w:val="36"/>
                                <w:szCs w:val="36"/>
                                <w:u w:color="FEFEFE"/>
                              </w:rPr>
                              <w:t>Sanitary Product Subscription Service</w:t>
                            </w:r>
                          </w:p>
                        </w:txbxContent>
                      </wps:txbx>
                      <wps:bodyPr wrap="square" lIns="45718" tIns="45718" rIns="45718" bIns="45718" numCol="1" anchor="ctr">
                        <a:noAutofit/>
                      </wps:bodyPr>
                    </wps:wsp>
                  </a:graphicData>
                </a:graphic>
              </wp:anchor>
            </w:drawing>
          </mc:Choice>
          <mc:Fallback>
            <w:pict>
              <v:shape id="_x0000_s1028" type="#_x0000_t202" style="visibility:visible;position:absolute;margin-left:53.8pt;margin-top:242.0pt;width:487.5pt;height:175.7pt;z-index:251662336;mso-position-horizontal:absolute;mso-position-horizontal-relative:page;mso-position-vertical:absolute;mso-position-vertical-relative:line;mso-wrap-distance-left:6.3pt;mso-wrap-distance-top:6.3pt;mso-wrap-distance-right:6.3pt;mso-wrap-distance-bottom:6.3pt;">
                <v:fill on="f"/>
                <v:stroke filltype="solid" color="#FFFFFF" opacity="100.0%" weight="2.0pt" dashstyle="solid" endcap="flat" miterlimit="400.0%" joinstyle="miter" linestyle="single" startarrow="none" startarrowwidth="medium" startarrowlength="medium" endarrow="none" endarrowwidth="medium" endarrowlength="medium"/>
                <v:textbox>
                  <w:txbxContent>
                    <w:p>
                      <w:pPr>
                        <w:pStyle w:val="Title"/>
                        <w:keepNext w:val="0"/>
                        <w:spacing w:after="200" w:line="288" w:lineRule="auto"/>
                        <w:jc w:val="center"/>
                        <w:rPr>
                          <w:rFonts w:ascii="Arial" w:cs="Arial" w:hAnsi="Arial" w:eastAsia="Arial"/>
                          <w:caps w:val="1"/>
                          <w:color w:val="ffffff"/>
                          <w:spacing w:val="-10"/>
                          <w:kern w:val="28"/>
                          <w:sz w:val="56"/>
                          <w:szCs w:val="56"/>
                          <w:u w:color="ffffff"/>
                        </w:rPr>
                      </w:pPr>
                      <w:r>
                        <w:rPr>
                          <w:rFonts w:ascii="Arial" w:hAnsi="Arial"/>
                          <w:caps w:val="1"/>
                          <w:color w:val="ffffff"/>
                          <w:spacing w:val="-10"/>
                          <w:kern w:val="28"/>
                          <w:sz w:val="56"/>
                          <w:szCs w:val="56"/>
                          <w:u w:color="ffffff"/>
                          <w:rtl w:val="0"/>
                          <w:lang w:val="en-US"/>
                        </w:rPr>
                        <w:t>The menstrual movement:</w:t>
                      </w:r>
                    </w:p>
                    <w:p>
                      <w:pPr>
                        <w:pStyle w:val="Title"/>
                        <w:jc w:val="center"/>
                        <w:rPr>
                          <w:rFonts w:ascii="Arial" w:cs="Arial" w:hAnsi="Arial" w:eastAsia="Arial"/>
                          <w:i w:val="1"/>
                          <w:iCs w:val="1"/>
                          <w:color w:val="fefefe"/>
                          <w:sz w:val="36"/>
                          <w:szCs w:val="36"/>
                          <w:u w:color="fefefe"/>
                        </w:rPr>
                      </w:pPr>
                      <w:r>
                        <w:rPr>
                          <w:rFonts w:ascii="Arial" w:hAnsi="Arial"/>
                          <w:i w:val="1"/>
                          <w:iCs w:val="1"/>
                          <w:color w:val="fefefe"/>
                          <w:sz w:val="36"/>
                          <w:szCs w:val="36"/>
                          <w:u w:color="fefefe"/>
                          <w:rtl w:val="0"/>
                          <w:lang w:val="en-US"/>
                        </w:rPr>
                        <w:t xml:space="preserve">An Analysis of the Sustainability of XXX </w:t>
                      </w:r>
                    </w:p>
                    <w:p>
                      <w:pPr>
                        <w:pStyle w:val="Title"/>
                        <w:jc w:val="center"/>
                      </w:pPr>
                      <w:r>
                        <w:rPr>
                          <w:rFonts w:ascii="Arial" w:hAnsi="Arial"/>
                          <w:i w:val="1"/>
                          <w:iCs w:val="1"/>
                          <w:color w:val="fefefe"/>
                          <w:sz w:val="36"/>
                          <w:szCs w:val="36"/>
                          <w:u w:color="fefefe"/>
                          <w:rtl w:val="0"/>
                          <w:lang w:val="en-US"/>
                        </w:rPr>
                        <w:t>Sanitary Product Subscription Service</w:t>
                      </w:r>
                    </w:p>
                  </w:txbxContent>
                </v:textbox>
                <w10:wrap type="square" side="bothSides" anchorx="page"/>
              </v:shape>
            </w:pict>
          </mc:Fallback>
        </mc:AlternateContent>
      </w:r>
      <w:r>
        <w:rPr>
          <w:noProof/>
          <w:lang w:val="en-GB"/>
        </w:rPr>
        <mc:AlternateContent>
          <mc:Choice Requires="wps">
            <w:drawing>
              <wp:anchor distT="0" distB="0" distL="0" distR="0" simplePos="0" relativeHeight="251660288" behindDoc="0" locked="0" layoutInCell="1" allowOverlap="1">
                <wp:simplePos x="0" y="0"/>
                <wp:positionH relativeFrom="page">
                  <wp:posOffset>3719948</wp:posOffset>
                </wp:positionH>
                <wp:positionV relativeFrom="line">
                  <wp:posOffset>5784664</wp:posOffset>
                </wp:positionV>
                <wp:extent cx="4314157" cy="3825331"/>
                <wp:effectExtent l="0" t="0" r="0" b="0"/>
                <wp:wrapNone/>
                <wp:docPr id="1073741829" name="officeArt object" descr="Freeform: Shape 16"/>
                <wp:cNvGraphicFramePr/>
                <a:graphic xmlns:a="http://schemas.openxmlformats.org/drawingml/2006/main">
                  <a:graphicData uri="http://schemas.microsoft.com/office/word/2010/wordprocessingShape">
                    <wps:wsp>
                      <wps:cNvSpPr/>
                      <wps:spPr>
                        <a:xfrm>
                          <a:off x="0" y="0"/>
                          <a:ext cx="4314157" cy="382533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8514" y="1429"/>
                              </a:lnTo>
                              <a:lnTo>
                                <a:pt x="9643" y="0"/>
                              </a:lnTo>
                              <a:lnTo>
                                <a:pt x="20261" y="0"/>
                              </a:lnTo>
                              <a:lnTo>
                                <a:pt x="21581" y="1699"/>
                              </a:lnTo>
                              <a:lnTo>
                                <a:pt x="21600" y="21560"/>
                              </a:lnTo>
                              <a:lnTo>
                                <a:pt x="0" y="21600"/>
                              </a:lnTo>
                              <a:close/>
                            </a:path>
                          </a:pathLst>
                        </a:custGeom>
                        <a:solidFill>
                          <a:srgbClr val="C4242A"/>
                        </a:solidFill>
                        <a:ln w="12700" cap="flat">
                          <a:noFill/>
                          <a:miter lim="400000"/>
                        </a:ln>
                        <a:effectLst/>
                      </wps:spPr>
                      <wps:bodyPr/>
                    </wps:wsp>
                  </a:graphicData>
                </a:graphic>
              </wp:anchor>
            </w:drawing>
          </mc:Choice>
          <mc:Fallback>
            <w:pict>
              <v:shape id="_x0000_s1029" style="visibility:visible;position:absolute;margin-left:292.9pt;margin-top:455.5pt;width:339.7pt;height:301.2pt;z-index:251660288;mso-position-horizontal:absolute;mso-position-horizontal-relative:page;mso-position-vertical:absolute;mso-position-vertical-relative:line;mso-wrap-distance-left:0.0pt;mso-wrap-distance-top:0.0pt;mso-wrap-distance-right:0.0pt;mso-wrap-distance-bottom:0.0pt;" coordorigin="0,0" coordsize="21600,21600" path="M 0,21600 L 8514,1429 L 9643,0 L 20261,0 L 21581,1699 L 21600,21560 L 0,21600 X E">
                <v:fill color="#C4242A" opacity="100.0%" type="solid"/>
                <v:stroke on="f" weight="1.0pt" dashstyle="solid" endcap="flat" miterlimit="400.0%" joinstyle="miter" linestyle="single" startarrow="none" startarrowwidth="medium" startarrowlength="medium" endarrow="none" endarrowwidth="medium" endarrowlength="medium"/>
                <w10:wrap type="none" side="bothSides" anchorx="page"/>
              </v:shape>
            </w:pict>
          </mc:Fallback>
        </mc:AlternateContent>
      </w:r>
    </w:p>
    <w:p w:rsidR="00725871" w:rsidRDefault="00725871">
      <w:pPr>
        <w:pStyle w:val="BodyB"/>
      </w:pPr>
    </w:p>
    <w:p w:rsidR="00725871" w:rsidRDefault="00972067">
      <w:pPr>
        <w:pStyle w:val="BodyA"/>
        <w:spacing w:line="360" w:lineRule="auto"/>
        <w:jc w:val="left"/>
      </w:pPr>
      <w:r>
        <w:rPr>
          <w:b/>
          <w:bCs/>
          <w:sz w:val="32"/>
          <w:szCs w:val="32"/>
        </w:rPr>
        <w:t>Contents</w:t>
      </w:r>
      <w:r>
        <w:t xml:space="preserve"> </w:t>
      </w:r>
    </w:p>
    <w:p w:rsidR="00725871" w:rsidRDefault="00972067">
      <w:pPr>
        <w:pStyle w:val="BodyA"/>
      </w:pPr>
      <w:r>
        <w:fldChar w:fldCharType="begin"/>
      </w:r>
      <w:r>
        <w:instrText xml:space="preserve"> TOC \o 1-2 \t "Heading Red A, 3,Title, 4"</w:instrText>
      </w:r>
      <w:r>
        <w:fldChar w:fldCharType="separate"/>
      </w:r>
    </w:p>
    <w:p w:rsidR="00725871" w:rsidRDefault="00972067">
      <w:pPr>
        <w:pStyle w:val="TOC1"/>
      </w:pPr>
      <w:r>
        <w:rPr>
          <w:rFonts w:eastAsia="Arial Unicode MS" w:cs="Arial Unicode MS"/>
        </w:rPr>
        <w:t>Abstract</w:t>
      </w:r>
      <w:r>
        <w:rPr>
          <w:rFonts w:eastAsia="Arial Unicode MS" w:cs="Arial Unicode MS"/>
        </w:rPr>
        <w:tab/>
      </w:r>
      <w:r>
        <w:fldChar w:fldCharType="begin"/>
      </w:r>
      <w:r>
        <w:instrText xml:space="preserve"> PAGEREF _Toc \h </w:instrText>
      </w:r>
      <w:r>
        <w:fldChar w:fldCharType="separate"/>
      </w:r>
      <w:r>
        <w:rPr>
          <w:rFonts w:eastAsia="Arial Unicode MS" w:cs="Arial Unicode MS"/>
        </w:rPr>
        <w:t>4</w:t>
      </w:r>
      <w:r>
        <w:fldChar w:fldCharType="end"/>
      </w:r>
    </w:p>
    <w:p w:rsidR="00725871" w:rsidRDefault="00972067">
      <w:pPr>
        <w:pStyle w:val="TOC1"/>
      </w:pPr>
      <w:r>
        <w:rPr>
          <w:rFonts w:eastAsia="Arial Unicode MS" w:cs="Arial Unicode MS"/>
        </w:rPr>
        <w:t>1.0 Introduction</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5</w:t>
      </w:r>
      <w:r>
        <w:fldChar w:fldCharType="end"/>
      </w:r>
    </w:p>
    <w:p w:rsidR="00725871" w:rsidRDefault="00972067">
      <w:pPr>
        <w:pStyle w:val="TOC2"/>
      </w:pPr>
      <w:r>
        <w:rPr>
          <w:rFonts w:eastAsia="Arial Unicode MS" w:cs="Arial Unicode MS"/>
        </w:rPr>
        <w:t>1.1 Aims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5</w:t>
      </w:r>
      <w:r>
        <w:fldChar w:fldCharType="end"/>
      </w:r>
    </w:p>
    <w:p w:rsidR="00725871" w:rsidRDefault="00972067">
      <w:pPr>
        <w:pStyle w:val="TOC2"/>
      </w:pPr>
      <w:r>
        <w:rPr>
          <w:rFonts w:eastAsia="Arial Unicode MS" w:cs="Arial Unicode MS"/>
        </w:rPr>
        <w:t>1.2 Company Ove</w:t>
      </w:r>
      <w:r>
        <w:rPr>
          <w:rFonts w:eastAsia="Arial Unicode MS" w:cs="Arial Unicode MS"/>
        </w:rPr>
        <w:t>rview</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rsidR="00725871" w:rsidRDefault="00972067">
      <w:pPr>
        <w:pStyle w:val="TOC1"/>
      </w:pPr>
      <w:r>
        <w:rPr>
          <w:rFonts w:eastAsia="Arial Unicode MS" w:cs="Arial Unicode MS"/>
        </w:rPr>
        <w:t>2.0 Analysis of Company Industry &amp; Campaign</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6</w:t>
      </w:r>
      <w:r>
        <w:fldChar w:fldCharType="end"/>
      </w:r>
    </w:p>
    <w:p w:rsidR="00725871" w:rsidRDefault="00972067">
      <w:pPr>
        <w:pStyle w:val="TOC2"/>
      </w:pPr>
      <w:r>
        <w:rPr>
          <w:rFonts w:eastAsia="Arial Unicode MS" w:cs="Arial Unicode MS"/>
        </w:rPr>
        <w:t>2.1 Analysis of XXX Health Products Ltd.’s Indu</w:t>
      </w:r>
      <w:r>
        <w:rPr>
          <w:rFonts w:eastAsia="Arial Unicode MS" w:cs="Arial Unicode MS"/>
        </w:rPr>
        <w:t>stry</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6</w:t>
      </w:r>
      <w:r>
        <w:fldChar w:fldCharType="end"/>
      </w:r>
    </w:p>
    <w:p w:rsidR="00725871" w:rsidRDefault="00972067">
      <w:pPr>
        <w:pStyle w:val="TOC3"/>
      </w:pPr>
      <w:r>
        <w:rPr>
          <w:rFonts w:eastAsia="Arial Unicode MS" w:cs="Arial Unicode MS"/>
        </w:rPr>
        <w:t>2.1.1 Creating Shared Value - Porter and Kramer, 2011</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6</w:t>
      </w:r>
      <w:r>
        <w:fldChar w:fldCharType="end"/>
      </w:r>
    </w:p>
    <w:p w:rsidR="00725871" w:rsidRDefault="00972067">
      <w:pPr>
        <w:pStyle w:val="TOC3"/>
      </w:pPr>
      <w:r>
        <w:rPr>
          <w:rFonts w:eastAsia="Arial Unicode MS" w:cs="Arial Unicode MS"/>
        </w:rPr>
        <w:t>2.1.2 ‘’Reconceiving Products and Markets’’ Level</w:t>
      </w:r>
      <w:r>
        <w:rPr>
          <w:rFonts w:eastAsia="Arial Unicode MS" w:cs="Arial Unicode MS"/>
        </w:rPr>
        <w:tab/>
      </w:r>
      <w:r>
        <w:fldChar w:fldCharType="begin"/>
      </w:r>
      <w:r>
        <w:instrText xml:space="preserve"> PAGEREF _Toc7 </w:instrText>
      </w:r>
      <w:r>
        <w:instrText xml:space="preserve">\h </w:instrText>
      </w:r>
      <w:r>
        <w:fldChar w:fldCharType="separate"/>
      </w:r>
      <w:r>
        <w:rPr>
          <w:rFonts w:eastAsia="Arial Unicode MS" w:cs="Arial Unicode MS"/>
        </w:rPr>
        <w:t>7</w:t>
      </w:r>
      <w:r>
        <w:fldChar w:fldCharType="end"/>
      </w:r>
    </w:p>
    <w:p w:rsidR="00725871" w:rsidRDefault="00972067">
      <w:pPr>
        <w:pStyle w:val="TOC3"/>
      </w:pPr>
      <w:r>
        <w:rPr>
          <w:rFonts w:eastAsia="Arial Unicode MS" w:cs="Arial Unicode MS"/>
        </w:rPr>
        <w:t>2.1.3 ‘'Enabling Local Cluster Development’’ Level</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8</w:t>
      </w:r>
      <w:r>
        <w:fldChar w:fldCharType="end"/>
      </w:r>
    </w:p>
    <w:p w:rsidR="00725871" w:rsidRDefault="00972067">
      <w:pPr>
        <w:pStyle w:val="TOC2"/>
      </w:pPr>
      <w:r>
        <w:rPr>
          <w:rFonts w:eastAsia="Arial Unicode MS" w:cs="Arial Unicode MS"/>
        </w:rPr>
        <w:t>2.2 Evaluation of XXX Health Products Ltd.’s Campaign</w:t>
      </w:r>
      <w:r>
        <w:rPr>
          <w:rFonts w:eastAsia="Arial Unicode MS" w:cs="Arial Unicode MS"/>
        </w:rPr>
        <w:tab/>
      </w:r>
      <w:r>
        <w:fldChar w:fldCharType="begin"/>
      </w:r>
      <w:r>
        <w:instrText xml:space="preserve"> PAGERE</w:instrText>
      </w:r>
      <w:r>
        <w:instrText xml:space="preserve">F _Toc9 \h </w:instrText>
      </w:r>
      <w:r>
        <w:fldChar w:fldCharType="separate"/>
      </w:r>
      <w:r>
        <w:rPr>
          <w:rFonts w:eastAsia="Arial Unicode MS" w:cs="Arial Unicode MS"/>
        </w:rPr>
        <w:t>10</w:t>
      </w:r>
      <w:r>
        <w:fldChar w:fldCharType="end"/>
      </w:r>
    </w:p>
    <w:p w:rsidR="00725871" w:rsidRDefault="00972067">
      <w:pPr>
        <w:pStyle w:val="TOC3"/>
      </w:pPr>
      <w:r>
        <w:rPr>
          <w:rFonts w:eastAsia="Arial Unicode MS" w:cs="Arial Unicode MS"/>
        </w:rPr>
        <w:t>2.2.1 Introduction to Sustainability Theory</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10</w:t>
      </w:r>
      <w:r>
        <w:fldChar w:fldCharType="end"/>
      </w:r>
    </w:p>
    <w:p w:rsidR="00725871" w:rsidRDefault="00972067">
      <w:pPr>
        <w:pStyle w:val="TOC3"/>
      </w:pPr>
      <w:r>
        <w:rPr>
          <w:rFonts w:eastAsia="Arial Unicode MS" w:cs="Arial Unicode MS"/>
        </w:rPr>
        <w:t>2.2.2 Environmental Aspect</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10</w:t>
      </w:r>
      <w:r>
        <w:fldChar w:fldCharType="end"/>
      </w:r>
    </w:p>
    <w:p w:rsidR="00725871" w:rsidRDefault="00972067">
      <w:pPr>
        <w:pStyle w:val="TOC3"/>
      </w:pPr>
      <w:r>
        <w:rPr>
          <w:rFonts w:eastAsia="Arial Unicode MS" w:cs="Arial Unicode MS"/>
        </w:rPr>
        <w:t>2.2.3 Social Aspect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11</w:t>
      </w:r>
      <w:r>
        <w:fldChar w:fldCharType="end"/>
      </w:r>
    </w:p>
    <w:p w:rsidR="00725871" w:rsidRDefault="00972067">
      <w:pPr>
        <w:pStyle w:val="TOC3"/>
      </w:pPr>
      <w:r>
        <w:rPr>
          <w:rFonts w:eastAsia="Arial Unicode MS" w:cs="Arial Unicode MS"/>
        </w:rPr>
        <w:t>2.2.4 Economic Aspect</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12</w:t>
      </w:r>
      <w:r>
        <w:fldChar w:fldCharType="end"/>
      </w:r>
    </w:p>
    <w:p w:rsidR="00725871" w:rsidRDefault="00972067">
      <w:pPr>
        <w:pStyle w:val="TOC1"/>
      </w:pPr>
      <w:r>
        <w:rPr>
          <w:rFonts w:eastAsia="Arial Unicode MS" w:cs="Arial Unicode MS"/>
        </w:rPr>
        <w:t>3.0 Sustainable Development Goals &amp; Recommendations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13</w:t>
      </w:r>
      <w:r>
        <w:fldChar w:fldCharType="end"/>
      </w:r>
    </w:p>
    <w:p w:rsidR="00725871" w:rsidRDefault="00972067">
      <w:pPr>
        <w:pStyle w:val="TOC2"/>
      </w:pPr>
      <w:r>
        <w:rPr>
          <w:rFonts w:eastAsia="Arial Unicode MS" w:cs="Arial Unicode MS"/>
        </w:rPr>
        <w:t>3.1 Introduction to Sustainable Development Goals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13</w:t>
      </w:r>
      <w:r>
        <w:fldChar w:fldCharType="end"/>
      </w:r>
    </w:p>
    <w:p w:rsidR="00725871" w:rsidRDefault="00972067">
      <w:pPr>
        <w:pStyle w:val="TOC2"/>
      </w:pPr>
      <w:r>
        <w:rPr>
          <w:rFonts w:eastAsia="Arial Unicode MS" w:cs="Arial Unicode MS"/>
        </w:rPr>
        <w:t>3.2 Good Health and Wellbeing</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13</w:t>
      </w:r>
      <w:r>
        <w:fldChar w:fldCharType="end"/>
      </w:r>
    </w:p>
    <w:p w:rsidR="00725871" w:rsidRDefault="00972067">
      <w:pPr>
        <w:pStyle w:val="TOC3"/>
      </w:pPr>
      <w:r>
        <w:rPr>
          <w:rFonts w:eastAsia="Arial Unicode MS" w:cs="Arial Unicode MS"/>
        </w:rPr>
        <w:t>3.2.1 Recommendations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14</w:t>
      </w:r>
      <w:r>
        <w:fldChar w:fldCharType="end"/>
      </w:r>
    </w:p>
    <w:p w:rsidR="00725871" w:rsidRDefault="00972067">
      <w:pPr>
        <w:pStyle w:val="TOC2"/>
      </w:pPr>
      <w:r>
        <w:rPr>
          <w:rFonts w:eastAsia="Arial Unicode MS" w:cs="Arial Unicode MS"/>
        </w:rPr>
        <w:t>3.3 Responsible Consumption and Production</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14</w:t>
      </w:r>
      <w:r>
        <w:fldChar w:fldCharType="end"/>
      </w:r>
    </w:p>
    <w:p w:rsidR="00725871" w:rsidRDefault="00972067">
      <w:pPr>
        <w:pStyle w:val="TOC3"/>
      </w:pPr>
      <w:r>
        <w:rPr>
          <w:rFonts w:eastAsia="Arial Unicode MS" w:cs="Arial Unicode MS"/>
        </w:rPr>
        <w:t>3.3.1 Recommendations</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15</w:t>
      </w:r>
      <w:r>
        <w:fldChar w:fldCharType="end"/>
      </w:r>
    </w:p>
    <w:p w:rsidR="00725871" w:rsidRDefault="00972067">
      <w:pPr>
        <w:pStyle w:val="TOC1"/>
      </w:pPr>
      <w:r>
        <w:rPr>
          <w:rFonts w:eastAsia="Arial Unicode MS" w:cs="Arial Unicode MS"/>
        </w:rPr>
        <w:t>4.0 Conc</w:t>
      </w:r>
      <w:r>
        <w:rPr>
          <w:rFonts w:eastAsia="Arial Unicode MS" w:cs="Arial Unicode MS"/>
        </w:rPr>
        <w:t>lusions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15</w:t>
      </w:r>
      <w:r>
        <w:fldChar w:fldCharType="end"/>
      </w:r>
    </w:p>
    <w:p w:rsidR="00725871" w:rsidRDefault="00972067">
      <w:pPr>
        <w:pStyle w:val="TOC1"/>
      </w:pPr>
      <w:r>
        <w:rPr>
          <w:rFonts w:eastAsia="Arial Unicode MS" w:cs="Arial Unicode MS"/>
        </w:rPr>
        <w:t>5.0 References</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18</w:t>
      </w:r>
      <w:r>
        <w:fldChar w:fldCharType="end"/>
      </w:r>
    </w:p>
    <w:p w:rsidR="00725871" w:rsidRDefault="00972067">
      <w:pPr>
        <w:pStyle w:val="TOC1"/>
      </w:pPr>
      <w:r>
        <w:rPr>
          <w:rFonts w:eastAsia="Arial Unicode MS" w:cs="Arial Unicode MS"/>
        </w:rPr>
        <w:t>6.0 Appendices</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21</w:t>
      </w:r>
      <w:r>
        <w:fldChar w:fldCharType="end"/>
      </w:r>
    </w:p>
    <w:p w:rsidR="00725871" w:rsidRDefault="00972067">
      <w:pPr>
        <w:pStyle w:val="BodyA"/>
      </w:pPr>
      <w:r>
        <w:fldChar w:fldCharType="end"/>
      </w:r>
    </w:p>
    <w:p w:rsidR="00725871" w:rsidRDefault="00725871">
      <w:pPr>
        <w:pStyle w:val="BodyA"/>
      </w:pPr>
    </w:p>
    <w:p w:rsidR="00725871" w:rsidRDefault="00725871">
      <w:pPr>
        <w:pStyle w:val="BodyA"/>
      </w:pPr>
    </w:p>
    <w:p w:rsidR="00725871" w:rsidRDefault="00972067">
      <w:pPr>
        <w:pStyle w:val="BodyA"/>
        <w:rPr>
          <w:b/>
          <w:bCs/>
          <w:sz w:val="32"/>
          <w:szCs w:val="32"/>
        </w:rPr>
      </w:pPr>
      <w:r>
        <w:rPr>
          <w:b/>
          <w:bCs/>
          <w:sz w:val="32"/>
          <w:szCs w:val="32"/>
        </w:rPr>
        <w:t>List of Figures</w:t>
      </w:r>
    </w:p>
    <w:p w:rsidR="00725871" w:rsidRDefault="00972067">
      <w:pPr>
        <w:pStyle w:val="BodyA"/>
      </w:pPr>
      <w:r>
        <w:t xml:space="preserve">Figure 1: XXX Products </w:t>
      </w:r>
      <w:r>
        <w:tab/>
      </w:r>
      <w:r>
        <w:tab/>
      </w:r>
      <w:r>
        <w:tab/>
      </w:r>
      <w:r>
        <w:tab/>
      </w:r>
      <w:r>
        <w:tab/>
      </w:r>
      <w:r>
        <w:tab/>
      </w:r>
      <w:r>
        <w:tab/>
      </w:r>
      <w:r>
        <w:tab/>
      </w:r>
      <w:r>
        <w:tab/>
        <w:t xml:space="preserve">   3</w:t>
      </w:r>
    </w:p>
    <w:p w:rsidR="00725871" w:rsidRDefault="00972067">
      <w:pPr>
        <w:pStyle w:val="BodyA"/>
      </w:pPr>
      <w:r>
        <w:t xml:space="preserve">Figure 2: Model of Creating Shared Value  </w:t>
      </w:r>
      <w:r>
        <w:tab/>
      </w:r>
      <w:r>
        <w:tab/>
      </w:r>
      <w:r>
        <w:tab/>
      </w:r>
      <w:r>
        <w:tab/>
      </w:r>
      <w:r>
        <w:tab/>
      </w:r>
      <w:r>
        <w:tab/>
        <w:t xml:space="preserve">   4</w:t>
      </w:r>
    </w:p>
    <w:p w:rsidR="00725871" w:rsidRDefault="00972067">
      <w:pPr>
        <w:pStyle w:val="BodyA"/>
      </w:pPr>
      <w:r>
        <w:t>Figure 3: Life Cycle Assessment of Conventional Disposable Tampons</w:t>
      </w:r>
      <w:r>
        <w:tab/>
      </w:r>
      <w:r>
        <w:tab/>
        <w:t xml:space="preserve">   6</w:t>
      </w:r>
    </w:p>
    <w:p w:rsidR="00725871" w:rsidRDefault="00972067">
      <w:pPr>
        <w:pStyle w:val="BodyA"/>
      </w:pPr>
      <w:r>
        <w:t xml:space="preserve">Figure 4: XXX </w:t>
      </w:r>
      <w:r>
        <w:tab/>
      </w:r>
      <w:r>
        <w:tab/>
      </w:r>
      <w:r>
        <w:tab/>
      </w:r>
      <w:r>
        <w:tab/>
      </w:r>
      <w:r>
        <w:tab/>
      </w:r>
      <w:r>
        <w:tab/>
      </w:r>
      <w:r>
        <w:tab/>
      </w:r>
      <w:r>
        <w:tab/>
      </w:r>
      <w:r>
        <w:tab/>
        <w:t xml:space="preserve">  </w:t>
      </w:r>
      <w:r>
        <w:tab/>
        <w:t xml:space="preserve">   7</w:t>
      </w:r>
    </w:p>
    <w:p w:rsidR="00725871" w:rsidRDefault="00972067">
      <w:pPr>
        <w:pStyle w:val="BodyA"/>
      </w:pPr>
      <w:r>
        <w:t xml:space="preserve">Figure 5: Russian Doll Model of Sustainability </w:t>
      </w:r>
      <w:r>
        <w:tab/>
      </w:r>
      <w:r>
        <w:tab/>
      </w:r>
      <w:r>
        <w:tab/>
      </w:r>
      <w:r>
        <w:tab/>
      </w:r>
      <w:r>
        <w:tab/>
      </w:r>
      <w:r>
        <w:tab/>
        <w:t xml:space="preserve">   8</w:t>
      </w:r>
    </w:p>
    <w:p w:rsidR="00725871" w:rsidRDefault="00972067">
      <w:pPr>
        <w:pStyle w:val="BodyA"/>
      </w:pPr>
      <w:r>
        <w:t xml:space="preserve">Figure 6: Nordic Swan Eco-label Circular Economy Model </w:t>
      </w:r>
      <w:r>
        <w:tab/>
      </w:r>
      <w:r>
        <w:tab/>
      </w:r>
      <w:r>
        <w:tab/>
        <w:t xml:space="preserve">             10</w:t>
      </w:r>
    </w:p>
    <w:p w:rsidR="00725871" w:rsidRDefault="00972067">
      <w:pPr>
        <w:pStyle w:val="BodyA"/>
      </w:pPr>
      <w:r>
        <w:t>Figure 7: XXX’s Period Manifesto</w:t>
      </w:r>
      <w:r>
        <w:tab/>
      </w:r>
      <w:r>
        <w:tab/>
      </w:r>
      <w:r>
        <w:tab/>
      </w:r>
      <w:r>
        <w:tab/>
      </w:r>
      <w:r>
        <w:tab/>
        <w:t xml:space="preserve">           </w:t>
      </w:r>
      <w:r>
        <w:tab/>
      </w:r>
      <w:r>
        <w:tab/>
        <w:t xml:space="preserve">  13</w:t>
      </w:r>
    </w:p>
    <w:p w:rsidR="00725871" w:rsidRDefault="00725871">
      <w:pPr>
        <w:pStyle w:val="BodyA"/>
      </w:pPr>
    </w:p>
    <w:p w:rsidR="00725871" w:rsidRDefault="00972067">
      <w:pPr>
        <w:pStyle w:val="BodyA"/>
        <w:rPr>
          <w:b/>
          <w:bCs/>
          <w:sz w:val="32"/>
          <w:szCs w:val="32"/>
        </w:rPr>
      </w:pPr>
      <w:r>
        <w:rPr>
          <w:b/>
          <w:bCs/>
          <w:sz w:val="32"/>
          <w:szCs w:val="32"/>
        </w:rPr>
        <w:t>Appendices</w:t>
      </w:r>
    </w:p>
    <w:p w:rsidR="00725871" w:rsidRDefault="00972067">
      <w:pPr>
        <w:pStyle w:val="BodyA"/>
      </w:pPr>
      <w:r>
        <w:t>Appendix 1: Feminine Hygiene &amp;</w:t>
      </w:r>
      <w:r>
        <w:t xml:space="preserve"> Sanitary Protection Industry Analysis </w:t>
      </w:r>
      <w:r>
        <w:tab/>
      </w:r>
      <w:r>
        <w:tab/>
        <w:t xml:space="preserve">  19</w:t>
      </w:r>
    </w:p>
    <w:p w:rsidR="00725871" w:rsidRDefault="00972067">
      <w:pPr>
        <w:pStyle w:val="BodyA"/>
      </w:pPr>
      <w:r>
        <w:t>Appendix 2: Creating Shared Value (Porter &amp; Kramer, 2011)</w:t>
      </w:r>
      <w:r>
        <w:tab/>
      </w:r>
      <w:r>
        <w:tab/>
      </w:r>
      <w:r>
        <w:tab/>
      </w:r>
      <w:r>
        <w:tab/>
        <w:t xml:space="preserve">  20</w:t>
      </w:r>
    </w:p>
    <w:p w:rsidR="00725871" w:rsidRDefault="00972067">
      <w:pPr>
        <w:pStyle w:val="BodyA"/>
      </w:pPr>
      <w:r>
        <w:rPr>
          <w:rStyle w:val="Hyperlink0"/>
        </w:rPr>
        <w:t xml:space="preserve">Appendix 3: Period Poverty </w:t>
      </w:r>
      <w:proofErr w:type="gramStart"/>
      <w:r>
        <w:rPr>
          <w:rStyle w:val="Hyperlink0"/>
        </w:rPr>
        <w:t>Statistics  (</w:t>
      </w:r>
      <w:proofErr w:type="gramEnd"/>
      <w:r>
        <w:rPr>
          <w:lang w:val="de-DE"/>
        </w:rPr>
        <w:t>Plan Internation</w:t>
      </w:r>
      <w:r>
        <w:rPr>
          <w:rStyle w:val="Hyperlink0"/>
        </w:rPr>
        <w:t>al UK, 2017)</w:t>
      </w:r>
      <w:r>
        <w:rPr>
          <w:rStyle w:val="Hyperlink0"/>
        </w:rPr>
        <w:tab/>
      </w:r>
      <w:r>
        <w:rPr>
          <w:rStyle w:val="Hyperlink0"/>
        </w:rPr>
        <w:tab/>
      </w:r>
      <w:r>
        <w:rPr>
          <w:rStyle w:val="Hyperlink0"/>
        </w:rPr>
        <w:tab/>
        <w:t xml:space="preserve">  21</w:t>
      </w:r>
    </w:p>
    <w:p w:rsidR="00725871" w:rsidRDefault="00972067">
      <w:pPr>
        <w:pStyle w:val="BodyA"/>
      </w:pPr>
      <w:r>
        <w:t>Appendix 4: XXX and ‘Plastic Free Periods’</w:t>
      </w:r>
      <w:r>
        <w:tab/>
      </w:r>
      <w:r>
        <w:tab/>
      </w:r>
      <w:r>
        <w:tab/>
      </w:r>
      <w:r>
        <w:tab/>
      </w:r>
      <w:r>
        <w:tab/>
      </w:r>
      <w:r>
        <w:tab/>
        <w:t xml:space="preserve">  22</w:t>
      </w:r>
    </w:p>
    <w:p w:rsidR="00725871" w:rsidRDefault="00972067">
      <w:pPr>
        <w:pStyle w:val="BodyA"/>
      </w:pPr>
      <w:r>
        <w:tab/>
      </w:r>
      <w:r>
        <w:tab/>
      </w:r>
      <w:r>
        <w:tab/>
      </w:r>
      <w:r>
        <w:tab/>
      </w:r>
      <w:r>
        <w:tab/>
      </w:r>
      <w:r>
        <w:tab/>
      </w:r>
      <w:r>
        <w:tab/>
      </w:r>
      <w:r>
        <w:tab/>
      </w:r>
      <w:r>
        <w:tab/>
        <w:t xml:space="preserve">    </w:t>
      </w:r>
    </w:p>
    <w:p w:rsidR="00725871" w:rsidRDefault="00972067">
      <w:pPr>
        <w:pStyle w:val="BodyA"/>
        <w:rPr>
          <w:b/>
          <w:bCs/>
          <w:sz w:val="32"/>
          <w:szCs w:val="32"/>
        </w:rPr>
      </w:pPr>
      <w:r>
        <w:rPr>
          <w:b/>
          <w:bCs/>
          <w:sz w:val="32"/>
          <w:szCs w:val="32"/>
        </w:rPr>
        <w:t>L</w:t>
      </w:r>
      <w:r>
        <w:rPr>
          <w:b/>
          <w:bCs/>
          <w:sz w:val="32"/>
          <w:szCs w:val="32"/>
        </w:rPr>
        <w:t>ist of Appendices Figures</w:t>
      </w:r>
    </w:p>
    <w:p w:rsidR="00725871" w:rsidRDefault="00972067">
      <w:pPr>
        <w:pStyle w:val="BodyA"/>
      </w:pPr>
      <w:r>
        <w:t xml:space="preserve">Figure 1: Figure 1: Market Segmentation of Feminine Hygiene &amp; </w:t>
      </w:r>
    </w:p>
    <w:p w:rsidR="00725871" w:rsidRDefault="00972067">
      <w:pPr>
        <w:pStyle w:val="BodyA"/>
      </w:pPr>
      <w:r>
        <w:t>Sanitary Protection industry……………………………………………………………….19</w:t>
      </w:r>
    </w:p>
    <w:p w:rsidR="00725871" w:rsidRDefault="00972067">
      <w:pPr>
        <w:pStyle w:val="BodyA"/>
      </w:pPr>
      <w:r>
        <w:t>Figure 2: Levels of Creating Shared Value………………………………………………20</w:t>
      </w:r>
    </w:p>
    <w:p w:rsidR="00725871" w:rsidRDefault="00972067">
      <w:pPr>
        <w:pStyle w:val="BodyA"/>
      </w:pPr>
      <w:r>
        <w:t>Figure 3: Differences between Corporate Social Re</w:t>
      </w:r>
      <w:r>
        <w:t>sponsibility &amp; Creating</w:t>
      </w:r>
    </w:p>
    <w:p w:rsidR="00725871" w:rsidRDefault="00972067">
      <w:pPr>
        <w:pStyle w:val="BodyA"/>
      </w:pPr>
      <w:r>
        <w:t>Shared Value………………………………………………………………………….…….20</w:t>
      </w:r>
    </w:p>
    <w:p w:rsidR="00725871" w:rsidRDefault="00972067">
      <w:pPr>
        <w:pStyle w:val="BodyA"/>
      </w:pPr>
      <w:r>
        <w:t>Figure 4: Period Poverty Statistics……………………………………………………..…21</w:t>
      </w:r>
    </w:p>
    <w:p w:rsidR="00725871" w:rsidRDefault="00972067">
      <w:pPr>
        <w:pStyle w:val="BodyA"/>
      </w:pPr>
      <w:r>
        <w:t>Figure 5: XXX Cardboard Applicator Tampons…………………….….………….…….22</w:t>
      </w:r>
    </w:p>
    <w:p w:rsidR="00725871" w:rsidRDefault="00972067">
      <w:pPr>
        <w:pStyle w:val="BodyA"/>
      </w:pPr>
      <w:r>
        <w:rPr>
          <w:rFonts w:ascii="Arial Unicode MS" w:hAnsi="Arial Unicode MS"/>
        </w:rPr>
        <w:lastRenderedPageBreak/>
        <w:br w:type="page"/>
      </w:r>
    </w:p>
    <w:p w:rsidR="00725871" w:rsidRDefault="00972067">
      <w:pPr>
        <w:pStyle w:val="Heading"/>
      </w:pPr>
      <w:bookmarkStart w:id="1" w:name="_Toc"/>
      <w:r>
        <w:rPr>
          <w:rFonts w:eastAsia="Arial Unicode MS" w:cs="Arial Unicode MS"/>
        </w:rPr>
        <w:lastRenderedPageBreak/>
        <w:t xml:space="preserve">Abstract </w:t>
      </w:r>
      <w:bookmarkEnd w:id="1"/>
    </w:p>
    <w:p w:rsidR="00725871" w:rsidRDefault="00972067">
      <w:pPr>
        <w:pStyle w:val="BodyA"/>
      </w:pPr>
      <w:r>
        <w:t>In the new global economy, sustainability has be</w:t>
      </w:r>
      <w:r>
        <w:t>come a central issue for business su</w:t>
      </w:r>
      <w:r>
        <w:t>c</w:t>
      </w:r>
      <w:r>
        <w:t>cess. This report set out to critically assess the sanitary product subscription company - XXX, to illuminate the major weaknesses and opportunities to achieve holistic business sustainability within the Feminine Hygien</w:t>
      </w:r>
      <w:r>
        <w:t xml:space="preserve">e and Sanitary protection industry. </w:t>
      </w:r>
    </w:p>
    <w:p w:rsidR="00725871" w:rsidRDefault="00972067">
      <w:pPr>
        <w:pStyle w:val="BodyA"/>
      </w:pPr>
      <w:r>
        <w:t>The aim of this report was to evaluate the Corporate Social Responsibility within XXX’s i</w:t>
      </w:r>
      <w:r>
        <w:t>n</w:t>
      </w:r>
      <w:r>
        <w:t>dustry, from the perspective of Creating Shared Value. Secondly, a further aim was to a</w:t>
      </w:r>
      <w:r>
        <w:t>s</w:t>
      </w:r>
      <w:r>
        <w:t>sess XXX’s crowdfunding campaign, drawing</w:t>
      </w:r>
      <w:r>
        <w:t xml:space="preserve"> from the Russian Doll Model of Sustainability to </w:t>
      </w:r>
      <w:proofErr w:type="spellStart"/>
      <w:r>
        <w:t>analyse</w:t>
      </w:r>
      <w:proofErr w:type="spellEnd"/>
      <w:r>
        <w:t xml:space="preserve"> the extent to which XXX operates sustainably.</w:t>
      </w:r>
    </w:p>
    <w:p w:rsidR="00725871" w:rsidRDefault="00972067">
      <w:pPr>
        <w:pStyle w:val="BodyA"/>
      </w:pPr>
      <w:r>
        <w:t>The report employed two United Nations Sustainable Development Goals; (1) Good Health and Wellbeing, (2) Responsible Consumption and Production. An anal</w:t>
      </w:r>
      <w:r>
        <w:t>ysis of company operations in these areas served as a guideline for recommendations to improve the co</w:t>
      </w:r>
      <w:r>
        <w:t>m</w:t>
      </w:r>
      <w:r>
        <w:t>pany’s sustainability practices. Informed by the findings, it is recommended;</w:t>
      </w:r>
    </w:p>
    <w:p w:rsidR="00725871" w:rsidRDefault="00972067">
      <w:pPr>
        <w:pStyle w:val="BodyA"/>
        <w:numPr>
          <w:ilvl w:val="2"/>
          <w:numId w:val="2"/>
        </w:numPr>
      </w:pPr>
      <w:r>
        <w:t xml:space="preserve">XXX implement an educational </w:t>
      </w:r>
      <w:proofErr w:type="spellStart"/>
      <w:r>
        <w:t>programme</w:t>
      </w:r>
      <w:proofErr w:type="spellEnd"/>
      <w:r>
        <w:t xml:space="preserve"> within UK schools for both genders to</w:t>
      </w:r>
      <w:r>
        <w:t xml:space="preserve"> understand the physical, economic and social implications of menstruation.</w:t>
      </w:r>
    </w:p>
    <w:p w:rsidR="00725871" w:rsidRDefault="00972067">
      <w:pPr>
        <w:pStyle w:val="BodyA"/>
        <w:numPr>
          <w:ilvl w:val="2"/>
          <w:numId w:val="2"/>
        </w:numPr>
      </w:pPr>
      <w:r>
        <w:t>XXX extend their current product line to include reusable sanitary protection to e</w:t>
      </w:r>
      <w:r>
        <w:t>x</w:t>
      </w:r>
      <w:r>
        <w:t>tend the product life cycle.</w:t>
      </w:r>
    </w:p>
    <w:p w:rsidR="00725871" w:rsidRDefault="00972067">
      <w:pPr>
        <w:pStyle w:val="BodyA"/>
        <w:numPr>
          <w:ilvl w:val="2"/>
          <w:numId w:val="2"/>
        </w:numPr>
      </w:pPr>
      <w:r>
        <w:t>XXX eradicate using plastic applicator tampons and switch to cardboa</w:t>
      </w:r>
      <w:r>
        <w:t>rd applicators to ensure products are completely biodegradable.</w:t>
      </w:r>
    </w:p>
    <w:p w:rsidR="00725871" w:rsidRDefault="00725871">
      <w:pPr>
        <w:pStyle w:val="BodyA"/>
      </w:pPr>
    </w:p>
    <w:p w:rsidR="00725871" w:rsidRDefault="00725871">
      <w:pPr>
        <w:pStyle w:val="BodyA"/>
      </w:pPr>
    </w:p>
    <w:p w:rsidR="00725871" w:rsidRDefault="00972067">
      <w:pPr>
        <w:pStyle w:val="BodyA"/>
      </w:pPr>
      <w:r>
        <w:t>ß</w:t>
      </w:r>
    </w:p>
    <w:p w:rsidR="00725871" w:rsidRDefault="00725871">
      <w:pPr>
        <w:pStyle w:val="BodyA"/>
      </w:pPr>
    </w:p>
    <w:p w:rsidR="00725871" w:rsidRDefault="00725871">
      <w:pPr>
        <w:pStyle w:val="BodyA"/>
      </w:pPr>
    </w:p>
    <w:p w:rsidR="00725871" w:rsidRDefault="00725871">
      <w:pPr>
        <w:pStyle w:val="BodyA"/>
      </w:pPr>
    </w:p>
    <w:p w:rsidR="00725871" w:rsidRDefault="00972067">
      <w:pPr>
        <w:pStyle w:val="Heading"/>
      </w:pPr>
      <w:bookmarkStart w:id="2" w:name="_Toc1"/>
      <w:r>
        <w:rPr>
          <w:rFonts w:eastAsia="Arial Unicode MS" w:cs="Arial Unicode MS"/>
        </w:rPr>
        <w:lastRenderedPageBreak/>
        <w:t>1.0 Introduction</w:t>
      </w:r>
      <w:bookmarkEnd w:id="2"/>
    </w:p>
    <w:p w:rsidR="00725871" w:rsidRDefault="00972067">
      <w:pPr>
        <w:pStyle w:val="Heading2"/>
      </w:pPr>
      <w:bookmarkStart w:id="3" w:name="_Toc2"/>
      <w:r>
        <w:rPr>
          <w:rStyle w:val="Hyperlink0"/>
          <w:rFonts w:eastAsia="Arial Unicode MS" w:cs="Arial Unicode MS"/>
        </w:rPr>
        <w:t xml:space="preserve">1.1 Aims </w:t>
      </w:r>
      <w:bookmarkEnd w:id="3"/>
    </w:p>
    <w:p w:rsidR="00725871" w:rsidRDefault="00972067">
      <w:pPr>
        <w:pStyle w:val="BodyA"/>
      </w:pPr>
      <w:r>
        <w:rPr>
          <w:rStyle w:val="Hyperlink0"/>
        </w:rPr>
        <w:t xml:space="preserve">This report will examine the company, XXX, drawing from the crowdfunding campaign on </w:t>
      </w:r>
      <w:hyperlink r:id="rId11" w:history="1">
        <w:r>
          <w:rPr>
            <w:rStyle w:val="Hyperlink0"/>
          </w:rPr>
          <w:t>crowdfunder.co.uk</w:t>
        </w:r>
      </w:hyperlink>
      <w:r>
        <w:rPr>
          <w:rStyle w:val="Hyperlink0"/>
        </w:rPr>
        <w:t xml:space="preserve"> </w:t>
      </w:r>
      <w:r>
        <w:rPr>
          <w:lang w:val="de-DE"/>
        </w:rPr>
        <w:t>(Crowdfunder UK</w:t>
      </w:r>
      <w:r>
        <w:rPr>
          <w:lang w:val="de-DE"/>
        </w:rPr>
        <w:t>, n.d.)</w:t>
      </w:r>
      <w:r>
        <w:rPr>
          <w:rStyle w:val="Hyperlink0"/>
        </w:rPr>
        <w:t>. The aim of this research is to critically assess the industry of which XXX operates within. From a Corporate Social Responsibility (CSR) perspective, the theory of Creating Shared Value (CSV) (Porter &amp; Kramer, 2011) will be applied to the industry</w:t>
      </w:r>
      <w:r>
        <w:rPr>
          <w:rStyle w:val="Hyperlink0"/>
        </w:rPr>
        <w:t>. By assessing the social, economic and environmental consider</w:t>
      </w:r>
      <w:r>
        <w:rPr>
          <w:rStyle w:val="Hyperlink0"/>
        </w:rPr>
        <w:t>a</w:t>
      </w:r>
      <w:r>
        <w:rPr>
          <w:rStyle w:val="Hyperlink0"/>
        </w:rPr>
        <w:t>tions of the company, an investigation will determine the extent to which XXX operates in a sustainable manner. Referring to United Nations Sustainable Development Goals (SDG’s), two were chose</w:t>
      </w:r>
      <w:r>
        <w:rPr>
          <w:rStyle w:val="Hyperlink0"/>
        </w:rPr>
        <w:t>n; Good Health and Wellbeing, and, Responsible Consumption and Pr</w:t>
      </w:r>
      <w:r>
        <w:rPr>
          <w:rStyle w:val="Hyperlink0"/>
        </w:rPr>
        <w:t>o</w:t>
      </w:r>
      <w:r>
        <w:rPr>
          <w:rStyle w:val="Hyperlink0"/>
        </w:rPr>
        <w:t xml:space="preserve">duction. These will provide a framework for recommendations to improve the company’s practices in these areas. </w:t>
      </w:r>
    </w:p>
    <w:p w:rsidR="00725871" w:rsidRDefault="00725871">
      <w:pPr>
        <w:pStyle w:val="BodyA"/>
      </w:pPr>
    </w:p>
    <w:p w:rsidR="00725871" w:rsidRDefault="00972067">
      <w:pPr>
        <w:pStyle w:val="Heading2"/>
      </w:pPr>
      <w:bookmarkStart w:id="4" w:name="_Toc3"/>
      <w:r>
        <w:rPr>
          <w:rStyle w:val="Hyperlink0"/>
          <w:rFonts w:eastAsia="Arial Unicode MS" w:cs="Arial Unicode MS"/>
        </w:rPr>
        <w:t>1.2 Company Overview</w:t>
      </w:r>
      <w:bookmarkEnd w:id="4"/>
    </w:p>
    <w:p w:rsidR="00725871" w:rsidRDefault="00972067">
      <w:pPr>
        <w:pStyle w:val="BodyA"/>
      </w:pPr>
      <w:r>
        <w:rPr>
          <w:rStyle w:val="Hyperlink0"/>
        </w:rPr>
        <w:t>XXX is a UK subscription box service providing a range o</w:t>
      </w:r>
      <w:r>
        <w:rPr>
          <w:rStyle w:val="Hyperlink0"/>
        </w:rPr>
        <w:t>f organic sanitary products star</w:t>
      </w:r>
      <w:r>
        <w:rPr>
          <w:rStyle w:val="Hyperlink0"/>
        </w:rPr>
        <w:t>t</w:t>
      </w:r>
      <w:r>
        <w:rPr>
          <w:rStyle w:val="Hyperlink0"/>
        </w:rPr>
        <w:t xml:space="preserve">ing from £6.99 a month (XXX, 2018). </w:t>
      </w:r>
      <w:proofErr w:type="gramStart"/>
      <w:r>
        <w:rPr>
          <w:rStyle w:val="Hyperlink0"/>
        </w:rPr>
        <w:t>Officially launched online in 2018, following concern for the impact of the refugee crisis preventing women from access to basic sanitary pro</w:t>
      </w:r>
      <w:r>
        <w:rPr>
          <w:rStyle w:val="Hyperlink0"/>
        </w:rPr>
        <w:t>d</w:t>
      </w:r>
      <w:r>
        <w:rPr>
          <w:rStyle w:val="Hyperlink0"/>
        </w:rPr>
        <w:t>ucts (</w:t>
      </w:r>
      <w:proofErr w:type="spellStart"/>
      <w:r>
        <w:rPr>
          <w:rStyle w:val="Hyperlink0"/>
        </w:rPr>
        <w:t>Borszcz</w:t>
      </w:r>
      <w:proofErr w:type="spellEnd"/>
      <w:r>
        <w:rPr>
          <w:rStyle w:val="Hyperlink0"/>
        </w:rPr>
        <w:t>, 2018).</w:t>
      </w:r>
      <w:proofErr w:type="gramEnd"/>
      <w:r>
        <w:rPr>
          <w:rStyle w:val="Hyperlink0"/>
        </w:rPr>
        <w:t xml:space="preserve"> The company was set up </w:t>
      </w:r>
      <w:r>
        <w:rPr>
          <w:rStyle w:val="Hyperlink0"/>
        </w:rPr>
        <w:t xml:space="preserve">to </w:t>
      </w:r>
      <w:proofErr w:type="gramStart"/>
      <w:r>
        <w:rPr>
          <w:rStyle w:val="Hyperlink0"/>
        </w:rPr>
        <w:t>challenge  economic</w:t>
      </w:r>
      <w:proofErr w:type="gramEnd"/>
      <w:r>
        <w:rPr>
          <w:rStyle w:val="Hyperlink0"/>
        </w:rPr>
        <w:t xml:space="preserve"> and social </w:t>
      </w:r>
      <w:proofErr w:type="spellStart"/>
      <w:r>
        <w:rPr>
          <w:lang w:val="fr-FR"/>
        </w:rPr>
        <w:t>barriers</w:t>
      </w:r>
      <w:proofErr w:type="spellEnd"/>
      <w:r>
        <w:rPr>
          <w:rStyle w:val="Hyperlink0"/>
        </w:rPr>
        <w:t xml:space="preserve"> around menstruation with the mission to “change the way the world looks at both period products and periods themselves” (XXX, 2018). </w:t>
      </w:r>
    </w:p>
    <w:p w:rsidR="00725871" w:rsidRDefault="00972067">
      <w:pPr>
        <w:pStyle w:val="BodyA"/>
      </w:pPr>
      <w:r>
        <w:rPr>
          <w:rStyle w:val="Hyperlink0"/>
        </w:rPr>
        <w:t xml:space="preserve">With a minimalistic packaging design and simple branding, shown in Figure 1, </w:t>
      </w:r>
      <w:r>
        <w:rPr>
          <w:rStyle w:val="Hyperlink0"/>
        </w:rPr>
        <w:t>the comp</w:t>
      </w:r>
      <w:r>
        <w:rPr>
          <w:rStyle w:val="Hyperlink0"/>
        </w:rPr>
        <w:t>a</w:t>
      </w:r>
      <w:r>
        <w:rPr>
          <w:rStyle w:val="Hyperlink0"/>
        </w:rPr>
        <w:t xml:space="preserve">ny </w:t>
      </w:r>
      <w:proofErr w:type="spellStart"/>
      <w:r>
        <w:rPr>
          <w:rStyle w:val="Hyperlink0"/>
        </w:rPr>
        <w:t>emphasise</w:t>
      </w:r>
      <w:proofErr w:type="spellEnd"/>
      <w:r>
        <w:rPr>
          <w:rStyle w:val="Hyperlink0"/>
        </w:rPr>
        <w:t xml:space="preserve"> their chemical free, e</w:t>
      </w:r>
      <w:r>
        <w:rPr>
          <w:lang w:val="it-IT"/>
        </w:rPr>
        <w:t>co</w:t>
      </w:r>
      <w:r>
        <w:rPr>
          <w:rStyle w:val="Hyperlink0"/>
        </w:rPr>
        <w:t>-friendly products for the benefit of the user and wi</w:t>
      </w:r>
      <w:r>
        <w:rPr>
          <w:rStyle w:val="Hyperlink0"/>
        </w:rPr>
        <w:t>d</w:t>
      </w:r>
      <w:r>
        <w:rPr>
          <w:rStyle w:val="Hyperlink0"/>
        </w:rPr>
        <w:t xml:space="preserve">er society. Boxes can be </w:t>
      </w:r>
      <w:proofErr w:type="spellStart"/>
      <w:r>
        <w:rPr>
          <w:rStyle w:val="Hyperlink0"/>
        </w:rPr>
        <w:t>customised</w:t>
      </w:r>
      <w:proofErr w:type="spellEnd"/>
      <w:r>
        <w:rPr>
          <w:rStyle w:val="Hyperlink0"/>
        </w:rPr>
        <w:t xml:space="preserve">, or, an algorithm can </w:t>
      </w:r>
      <w:proofErr w:type="spellStart"/>
      <w:r>
        <w:rPr>
          <w:rStyle w:val="Hyperlink0"/>
        </w:rPr>
        <w:t>synchronise</w:t>
      </w:r>
      <w:proofErr w:type="spellEnd"/>
      <w:r>
        <w:rPr>
          <w:rStyle w:val="Hyperlink0"/>
        </w:rPr>
        <w:t xml:space="preserve"> delivery to the su</w:t>
      </w:r>
      <w:r>
        <w:rPr>
          <w:rStyle w:val="Hyperlink0"/>
        </w:rPr>
        <w:t>b</w:t>
      </w:r>
      <w:r>
        <w:rPr>
          <w:rStyle w:val="Hyperlink0"/>
        </w:rPr>
        <w:t xml:space="preserve">scribers’ </w:t>
      </w:r>
      <w:r>
        <w:rPr>
          <w:lang w:val="de-DE"/>
        </w:rPr>
        <w:t xml:space="preserve">menstrual </w:t>
      </w:r>
      <w:r>
        <w:rPr>
          <w:rStyle w:val="Hyperlink0"/>
        </w:rPr>
        <w:t>cycle, as well as offering corporate packages f</w:t>
      </w:r>
      <w:r>
        <w:rPr>
          <w:rStyle w:val="Hyperlink0"/>
        </w:rPr>
        <w:t xml:space="preserve">or socially responsible companies (Matthews, 2018). </w:t>
      </w:r>
    </w:p>
    <w:p w:rsidR="00725871" w:rsidRDefault="00972067">
      <w:pPr>
        <w:pStyle w:val="BodyA"/>
      </w:pPr>
      <w:r>
        <w:lastRenderedPageBreak/>
        <w:t>The following sections will assess the extent CSR is adopted in the industry from the pe</w:t>
      </w:r>
      <w:r>
        <w:t>r</w:t>
      </w:r>
      <w:r>
        <w:t>spective of Creating Shared Value proposed by Porter and Kramer (2011). An evaluation of the sustainability of XXX</w:t>
      </w:r>
      <w:r>
        <w:t xml:space="preserve"> is provided, referring to the Russian Doll Model of Sustainabi</w:t>
      </w:r>
      <w:r>
        <w:t>l</w:t>
      </w:r>
      <w:r>
        <w:t>ity (</w:t>
      </w:r>
      <w:proofErr w:type="spellStart"/>
      <w:r>
        <w:t>Levett</w:t>
      </w:r>
      <w:proofErr w:type="spellEnd"/>
      <w:r>
        <w:t>, 1998).</w:t>
      </w:r>
    </w:p>
    <w:p w:rsidR="00725871" w:rsidRDefault="00725871">
      <w:pPr>
        <w:pStyle w:val="BodyA"/>
      </w:pPr>
    </w:p>
    <w:p w:rsidR="00725871" w:rsidRDefault="00972067">
      <w:pPr>
        <w:pStyle w:val="Heading"/>
      </w:pPr>
      <w:bookmarkStart w:id="5" w:name="_Toc4"/>
      <w:r>
        <w:rPr>
          <w:rFonts w:eastAsia="Arial Unicode MS" w:cs="Arial Unicode MS"/>
        </w:rPr>
        <w:t>2.0 Analysis of Company Industry &amp; Campaign</w:t>
      </w:r>
      <w:bookmarkEnd w:id="5"/>
    </w:p>
    <w:p w:rsidR="00725871" w:rsidRDefault="00972067">
      <w:pPr>
        <w:pStyle w:val="Heading2"/>
      </w:pPr>
      <w:bookmarkStart w:id="6" w:name="_Toc5"/>
      <w:r>
        <w:rPr>
          <w:rStyle w:val="Hyperlink0"/>
          <w:rFonts w:eastAsia="Arial Unicode MS" w:cs="Arial Unicode MS"/>
        </w:rPr>
        <w:t xml:space="preserve">2.1 Analysis of </w:t>
      </w:r>
      <w:r>
        <w:rPr>
          <w:rFonts w:eastAsia="Arial Unicode MS" w:cs="Arial Unicode MS"/>
        </w:rPr>
        <w:t>XXX</w:t>
      </w:r>
      <w:r>
        <w:rPr>
          <w:rStyle w:val="Hyperlink0"/>
          <w:rFonts w:eastAsia="Arial Unicode MS" w:cs="Arial Unicode MS"/>
        </w:rPr>
        <w:t xml:space="preserve"> Health Products Ltd.</w:t>
      </w:r>
      <w:r>
        <w:rPr>
          <w:rStyle w:val="Hyperlink0"/>
          <w:rFonts w:eastAsia="Arial Unicode MS" w:cs="Arial Unicode MS"/>
        </w:rPr>
        <w:t>’</w:t>
      </w:r>
      <w:r>
        <w:rPr>
          <w:rStyle w:val="Hyperlink0"/>
          <w:rFonts w:eastAsia="Arial Unicode MS" w:cs="Arial Unicode MS"/>
        </w:rPr>
        <w:t>s Industry</w:t>
      </w:r>
      <w:bookmarkEnd w:id="6"/>
    </w:p>
    <w:p w:rsidR="00725871" w:rsidRDefault="00972067">
      <w:pPr>
        <w:pStyle w:val="BodyA"/>
      </w:pPr>
      <w:r>
        <w:t>Mintel (2018) estimated the value of the UK sanitary protection sector to b</w:t>
      </w:r>
      <w:r>
        <w:t>e worth £265.8 million in 2017. They report this sector operates within the wider industry of Feminine H</w:t>
      </w:r>
      <w:r>
        <w:t>y</w:t>
      </w:r>
      <w:r>
        <w:t>giene and Sanitary Protection, encompassing sanitary products, complementary feminine hygiene goods (washes, wipes etc.) and adult incontinence product</w:t>
      </w:r>
      <w:r>
        <w:t xml:space="preserve">s. Although, sanitary protection remains the largest market segment within the industry accounting for 59% of retail value sales, see </w:t>
      </w:r>
      <w:proofErr w:type="gramStart"/>
      <w:r>
        <w:t>Ap</w:t>
      </w:r>
      <w:proofErr w:type="gramEnd"/>
      <w:r>
        <w:rPr>
          <w:noProof/>
          <w:lang w:val="en-GB"/>
        </w:rPr>
        <mc:AlternateContent>
          <mc:Choice Requires="wps">
            <w:drawing>
              <wp:anchor distT="152400" distB="152400" distL="152400" distR="152400" simplePos="0" relativeHeight="251666432" behindDoc="0" locked="0" layoutInCell="1" allowOverlap="1">
                <wp:simplePos x="0" y="0"/>
                <wp:positionH relativeFrom="page">
                  <wp:posOffset>1535708</wp:posOffset>
                </wp:positionH>
                <wp:positionV relativeFrom="page">
                  <wp:posOffset>720000</wp:posOffset>
                </wp:positionV>
                <wp:extent cx="4488640" cy="308411"/>
                <wp:effectExtent l="0" t="0" r="0" b="0"/>
                <wp:wrapTopAndBottom distT="152400" distB="152400"/>
                <wp:docPr id="1073741830" name="officeArt object" descr="officeArt object"/>
                <wp:cNvGraphicFramePr/>
                <a:graphic xmlns:a="http://schemas.openxmlformats.org/drawingml/2006/main">
                  <a:graphicData uri="http://schemas.microsoft.com/office/word/2010/wordprocessingShape">
                    <wps:wsp>
                      <wps:cNvSpPr txBox="1"/>
                      <wps:spPr>
                        <a:xfrm>
                          <a:off x="0" y="0"/>
                          <a:ext cx="4488640" cy="308411"/>
                        </a:xfrm>
                        <a:prstGeom prst="rect">
                          <a:avLst/>
                        </a:prstGeom>
                        <a:noFill/>
                        <a:ln w="12700" cap="flat">
                          <a:noFill/>
                          <a:miter lim="400000"/>
                        </a:ln>
                        <a:effectLst/>
                      </wps:spPr>
                      <wps:txbx>
                        <w:txbxContent>
                          <w:p w:rsidR="00725871" w:rsidRDefault="00972067">
                            <w:pPr>
                              <w:pStyle w:val="BodyA"/>
                              <w:jc w:val="center"/>
                            </w:pPr>
                            <w:r>
                              <w:rPr>
                                <w:b/>
                                <w:bCs/>
                                <w:i/>
                                <w:iCs/>
                              </w:rPr>
                              <w:t>FIGURE 1 - XXX Subscription Box Products</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120.9pt;margin-top:56.7pt;width:353.4pt;height:24.3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b w:val="1"/>
                          <w:bCs w:val="1"/>
                          <w:i w:val="1"/>
                          <w:iCs w:val="1"/>
                          <w:rtl w:val="0"/>
                          <w:lang w:val="en-US"/>
                        </w:rPr>
                        <w:t>FIGURE 1 - XXX Subscription Box Products</w:t>
                      </w:r>
                    </w:p>
                  </w:txbxContent>
                </v:textbox>
                <w10:wrap type="topAndBottom" side="bothSides" anchorx="page" anchory="page"/>
              </v:shape>
            </w:pict>
          </mc:Fallback>
        </mc:AlternateContent>
      </w:r>
      <w:r>
        <w:t>pendix 1 for market breakdown.</w:t>
      </w:r>
    </w:p>
    <w:p w:rsidR="00725871" w:rsidRDefault="00725871">
      <w:pPr>
        <w:pStyle w:val="BodyA"/>
      </w:pPr>
    </w:p>
    <w:p w:rsidR="00725871" w:rsidRDefault="00972067">
      <w:pPr>
        <w:pStyle w:val="HeadingRedA"/>
      </w:pPr>
      <w:bookmarkStart w:id="7" w:name="_Toc6"/>
      <w:r>
        <w:rPr>
          <w:rFonts w:eastAsia="Arial Unicode MS" w:cs="Arial Unicode MS"/>
        </w:rPr>
        <w:t>2.1.1 Creating Shared Value - Porter and Kra</w:t>
      </w:r>
      <w:r>
        <w:rPr>
          <w:rFonts w:eastAsia="Arial Unicode MS" w:cs="Arial Unicode MS"/>
        </w:rPr>
        <w:t>mer, 2011</w:t>
      </w:r>
      <w:bookmarkEnd w:id="7"/>
    </w:p>
    <w:p w:rsidR="00725871" w:rsidRDefault="00972067">
      <w:pPr>
        <w:pStyle w:val="BodyA"/>
      </w:pPr>
      <w:r>
        <w:t>Porter and Kramer’s (2011) theory of Creating Shared Value (CSV) provides a useful a</w:t>
      </w:r>
      <w:r>
        <w:t>p</w:t>
      </w:r>
      <w:r>
        <w:t>proach to assess a company’s CSR practices. Notably, this is a unique perspective that suggests in the modern world, CSR is simply not sufficient in achieving bu</w:t>
      </w:r>
      <w:r>
        <w:t>siness longevity. Whereas, CSV allows a company to align objectives with the needs of wider society, ther</w:t>
      </w:r>
      <w:r>
        <w:t>e</w:t>
      </w:r>
      <w:r>
        <w:t xml:space="preserve">fore improving long term profitability concomitantly with societal value, shown in Figure 2 (Shared Value Initiative, 2018). </w:t>
      </w:r>
    </w:p>
    <w:p w:rsidR="00725871" w:rsidRDefault="00972067">
      <w:pPr>
        <w:pStyle w:val="BodyA"/>
        <w:rPr>
          <w:color w:val="00A1FE"/>
          <w:u w:color="00A1FE"/>
        </w:rPr>
      </w:pPr>
      <w:r>
        <w:t xml:space="preserve">Porter and Kramer (2011) suggest three levels of how CSV can be achieved in a business </w:t>
      </w:r>
      <w:proofErr w:type="gramStart"/>
      <w:r>
        <w:t>environment,</w:t>
      </w:r>
      <w:proofErr w:type="gramEnd"/>
      <w:r>
        <w:t xml:space="preserve"> see Appendix 2 for an outlined description. For the purpose of this report, an evaluation of two levels will form an assessment of the Feminine Hygiene and </w:t>
      </w:r>
      <w:r>
        <w:t xml:space="preserve">Sanitary Protection industry. </w:t>
      </w:r>
    </w:p>
    <w:p w:rsidR="00725871" w:rsidRDefault="00725871">
      <w:pPr>
        <w:pStyle w:val="HeadingRedA"/>
        <w:rPr>
          <w:color w:val="00A1FE"/>
          <w:u w:color="00A1FE"/>
        </w:rPr>
      </w:pPr>
    </w:p>
    <w:p w:rsidR="00725871" w:rsidRDefault="00972067">
      <w:pPr>
        <w:pStyle w:val="HeadingRedA"/>
      </w:pPr>
      <w:bookmarkStart w:id="8" w:name="_Toc7"/>
      <w:r>
        <w:rPr>
          <w:rFonts w:eastAsia="Arial Unicode MS" w:cs="Arial Unicode MS"/>
        </w:rPr>
        <w:t xml:space="preserve">2.1.2 </w:t>
      </w:r>
      <w:r>
        <w:rPr>
          <w:rFonts w:eastAsia="Arial Unicode MS" w:cs="Arial Unicode MS"/>
        </w:rPr>
        <w:t>‘’</w:t>
      </w:r>
      <w:r>
        <w:rPr>
          <w:rFonts w:eastAsia="Arial Unicode MS" w:cs="Arial Unicode MS"/>
        </w:rPr>
        <w:t>Reconceiving Products and Markets</w:t>
      </w:r>
      <w:r>
        <w:rPr>
          <w:rFonts w:eastAsia="Arial Unicode MS" w:cs="Arial Unicode MS"/>
        </w:rPr>
        <w:t xml:space="preserve">’’ </w:t>
      </w:r>
      <w:r>
        <w:rPr>
          <w:rFonts w:eastAsia="Arial Unicode MS" w:cs="Arial Unicode MS"/>
        </w:rPr>
        <w:t>Level</w:t>
      </w:r>
      <w:bookmarkEnd w:id="8"/>
    </w:p>
    <w:p w:rsidR="00725871" w:rsidRDefault="00972067">
      <w:pPr>
        <w:pStyle w:val="BodyA"/>
      </w:pPr>
      <w:r>
        <w:t>The Reconceiving Products and Markets level focuses on offering products that satisfy</w:t>
      </w:r>
      <w:r>
        <w:rPr>
          <w:noProof/>
          <w:lang w:val="en-GB"/>
        </w:rPr>
        <mc:AlternateContent>
          <mc:Choice Requires="wpg">
            <w:drawing>
              <wp:anchor distT="152400" distB="152400" distL="152400" distR="152400" simplePos="0" relativeHeight="251664384" behindDoc="0" locked="0" layoutInCell="1" allowOverlap="1">
                <wp:simplePos x="0" y="0"/>
                <wp:positionH relativeFrom="page">
                  <wp:posOffset>720090</wp:posOffset>
                </wp:positionH>
                <wp:positionV relativeFrom="page">
                  <wp:posOffset>595190</wp:posOffset>
                </wp:positionV>
                <wp:extent cx="6141726" cy="3473781"/>
                <wp:effectExtent l="0" t="0" r="0" b="0"/>
                <wp:wrapTopAndBottom distT="152400" distB="152400"/>
                <wp:docPr id="1073741835" name="officeArt object" descr="officeArt object"/>
                <wp:cNvGraphicFramePr/>
                <a:graphic xmlns:a="http://schemas.openxmlformats.org/drawingml/2006/main">
                  <a:graphicData uri="http://schemas.microsoft.com/office/word/2010/wordprocessingGroup">
                    <wpg:wgp>
                      <wpg:cNvGrpSpPr/>
                      <wpg:grpSpPr>
                        <a:xfrm>
                          <a:off x="0" y="0"/>
                          <a:ext cx="6141726" cy="3473781"/>
                          <a:chOff x="-1" y="0"/>
                          <a:chExt cx="6141725" cy="3473780"/>
                        </a:xfrm>
                      </wpg:grpSpPr>
                      <wpg:grpSp>
                        <wpg:cNvPr id="1073741833" name="Group 1073741833"/>
                        <wpg:cNvGrpSpPr/>
                        <wpg:grpSpPr>
                          <a:xfrm>
                            <a:off x="138180" y="152398"/>
                            <a:ext cx="6003545" cy="3321383"/>
                            <a:chOff x="0" y="0"/>
                            <a:chExt cx="6003544" cy="3321382"/>
                          </a:xfrm>
                        </wpg:grpSpPr>
                        <pic:pic xmlns:pic="http://schemas.openxmlformats.org/drawingml/2006/picture">
                          <pic:nvPicPr>
                            <pic:cNvPr id="1073741831" name="SV venn diagram - 2 - 300.jpg" descr="SV venn diagram - 2 - 300.jpg"/>
                            <pic:cNvPicPr>
                              <a:picLocks noChangeAspect="1"/>
                            </pic:cNvPicPr>
                          </pic:nvPicPr>
                          <pic:blipFill>
                            <a:blip r:embed="rId12">
                              <a:extLst/>
                            </a:blip>
                            <a:stretch>
                              <a:fillRect/>
                            </a:stretch>
                          </pic:blipFill>
                          <pic:spPr>
                            <a:xfrm>
                              <a:off x="1246593" y="0"/>
                              <a:ext cx="3078666" cy="3017093"/>
                            </a:xfrm>
                            <a:prstGeom prst="rect">
                              <a:avLst/>
                            </a:prstGeom>
                            <a:ln w="12700" cap="flat">
                              <a:noFill/>
                              <a:miter lim="400000"/>
                            </a:ln>
                            <a:effectLst/>
                          </pic:spPr>
                        </pic:pic>
                        <wps:wsp>
                          <wps:cNvPr id="1073741832" name="Shape 1073741832"/>
                          <wps:cNvSpPr txBox="1"/>
                          <wps:spPr>
                            <a:xfrm>
                              <a:off x="0" y="3017091"/>
                              <a:ext cx="6003545" cy="304292"/>
                            </a:xfrm>
                            <a:prstGeom prst="rect">
                              <a:avLst/>
                            </a:prstGeom>
                            <a:noFill/>
                            <a:ln w="12700" cap="flat">
                              <a:noFill/>
                              <a:miter lim="400000"/>
                            </a:ln>
                            <a:effectLst/>
                          </wps:spPr>
                          <wps:txbx>
                            <w:txbxContent>
                              <w:p w:rsidR="00725871" w:rsidRDefault="00972067">
                                <w:pPr>
                                  <w:pStyle w:val="Caption"/>
                                  <w:jc w:val="right"/>
                                </w:pPr>
                                <w:r>
                                  <w:tab/>
                                </w:r>
                                <w:r>
                                  <w:tab/>
                                </w:r>
                                <w:r>
                                  <w:tab/>
                                  <w:t xml:space="preserve">          (SHARED VALUE INITIATIVE, 2018)</w:t>
                                </w:r>
                              </w:p>
                            </w:txbxContent>
                          </wps:txbx>
                          <wps:bodyPr wrap="square" lIns="76200" tIns="76200" rIns="76200" bIns="76200" numCol="1" anchor="t">
                            <a:noAutofit/>
                          </wps:bodyPr>
                        </wps:wsp>
                      </wpg:grpSp>
                      <wps:wsp>
                        <wps:cNvPr id="1073741834" name="Shape 1073741834"/>
                        <wps:cNvSpPr txBox="1"/>
                        <wps:spPr>
                          <a:xfrm>
                            <a:off x="-2" y="0"/>
                            <a:ext cx="3114554" cy="316756"/>
                          </a:xfrm>
                          <a:prstGeom prst="rect">
                            <a:avLst/>
                          </a:prstGeom>
                          <a:noFill/>
                          <a:ln w="12700" cap="flat">
                            <a:noFill/>
                            <a:miter lim="400000"/>
                          </a:ln>
                          <a:effectLst/>
                        </wps:spPr>
                        <wps:txbx>
                          <w:txbxContent>
                            <w:p w:rsidR="00725871" w:rsidRDefault="00972067">
                              <w:pPr>
                                <w:pStyle w:val="BodyA"/>
                              </w:pPr>
                              <w:r>
                                <w:rPr>
                                  <w:i/>
                                  <w:iCs/>
                                </w:rPr>
                                <w:t>FIGURE 2 - Creating Shared Value Model</w:t>
                              </w:r>
                            </w:p>
                          </w:txbxContent>
                        </wps:txbx>
                        <wps:bodyPr wrap="square" lIns="50800" tIns="50800" rIns="50800" bIns="50800" numCol="1" anchor="t">
                          <a:noAutofit/>
                        </wps:bodyPr>
                      </wps:wsp>
                    </wpg:wgp>
                  </a:graphicData>
                </a:graphic>
              </wp:anchor>
            </w:drawing>
          </mc:Choice>
          <mc:Fallback>
            <w:pict>
              <v:group id="_x0000_s1031" style="visibility:visible;position:absolute;margin-left:56.7pt;margin-top:46.9pt;width:483.6pt;height:273.5pt;z-index:251664384;mso-position-horizontal:absolute;mso-position-horizontal-relative:page;mso-position-vertical:absolute;mso-position-vertical-relative:page;mso-wrap-distance-left:12.0pt;mso-wrap-distance-top:12.0pt;mso-wrap-distance-right:12.0pt;mso-wrap-distance-bottom:12.0pt;" coordorigin="-1,0" coordsize="6141726,3473781">
                <w10:wrap type="topAndBottom" side="bothSides" anchorx="page" anchory="page"/>
                <v:group id="_x0000_s1032" style="position:absolute;left:138181;top:152398;width:6003544;height:3321383;" coordorigin="0,0" coordsize="6003545,3321383">
                  <v:shape id="_x0000_s1033" type="#_x0000_t75" style="position:absolute;left:1246593;top:0;width:3078665;height:3017092;">
                    <v:imagedata r:id="rId13" o:title="image1.jpeg"/>
                  </v:shape>
                  <v:shape id="_x0000_s1034" type="#_x0000_t202" style="position:absolute;left:0;top:3017091;width:6003544;height:304291;">
                    <v:fill on="f"/>
                    <v:stroke on="f" weight="1.0pt" dashstyle="solid" endcap="flat" miterlimit="400.0%" joinstyle="miter" linestyle="single" startarrow="none" startarrowwidth="medium" startarrowlength="medium" endarrow="none" endarrowwidth="medium" endarrowlength="medium"/>
                    <v:textbox>
                      <w:txbxContent>
                        <w:p>
                          <w:pPr>
                            <w:pStyle w:val="caption"/>
                            <w:jc w:val="right"/>
                          </w:pPr>
                          <w:r>
                            <w:rPr>
                              <w:rtl w:val="0"/>
                            </w:rPr>
                            <w:tab/>
                            <w:tab/>
                            <w:tab/>
                            <w:t xml:space="preserve">          (SHARED VALUE INITIATIVE, 2018)</w:t>
                          </w:r>
                        </w:p>
                      </w:txbxContent>
                    </v:textbox>
                  </v:shape>
                </v:group>
                <v:shape id="_x0000_s1035" type="#_x0000_t202" style="position:absolute;left:-1;top:0;width:3114552;height:31675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i w:val="1"/>
                            <w:iCs w:val="1"/>
                            <w:rtl w:val="0"/>
                            <w:lang w:val="en-US"/>
                          </w:rPr>
                          <w:t>FIGURE 2 - Creating Shared Value Model</w:t>
                        </w:r>
                      </w:p>
                    </w:txbxContent>
                  </v:textbox>
                </v:shape>
              </v:group>
            </w:pict>
          </mc:Fallback>
        </mc:AlternateContent>
      </w:r>
      <w:r>
        <w:t xml:space="preserve"> s</w:t>
      </w:r>
      <w:r>
        <w:t>o</w:t>
      </w:r>
      <w:r>
        <w:t>ciety’s needs and serving consumers that may not be considered in traditional strategies, whilst simultaneously creating profit (Porter &amp; Kramer, 2011). Period poverty and corr</w:t>
      </w:r>
      <w:r>
        <w:t>e</w:t>
      </w:r>
      <w:r>
        <w:t xml:space="preserve">sponding social stigmas have been gaining traction in the media more </w:t>
      </w:r>
      <w:proofErr w:type="gramStart"/>
      <w:r>
        <w:t>recentl</w:t>
      </w:r>
      <w:r>
        <w:t>y,</w:t>
      </w:r>
      <w:proofErr w:type="gramEnd"/>
      <w:r>
        <w:t xml:space="preserve"> see A</w:t>
      </w:r>
      <w:r>
        <w:t>p</w:t>
      </w:r>
      <w:r>
        <w:t>pendix 3 for recent statistics on the shocking barriers to sanitary protection for young girls. The industry has been responding to this social problem by addressing these unserved markets, specifically of lower-income consumers. The market leader</w:t>
      </w:r>
      <w:r>
        <w:t>, XXX (2018), launched the #</w:t>
      </w:r>
      <w:proofErr w:type="spellStart"/>
      <w:r>
        <w:t>Endperiodpoverty</w:t>
      </w:r>
      <w:proofErr w:type="spellEnd"/>
      <w:r>
        <w:t xml:space="preserve"> campaign with over 14 million sanitary products donated to UK schools, encouraging the industry to address the wider needs of society. Reconcei</w:t>
      </w:r>
      <w:r>
        <w:t>v</w:t>
      </w:r>
      <w:r>
        <w:t>ing these markets serves the functional needs of consumers and addr</w:t>
      </w:r>
      <w:r>
        <w:t xml:space="preserve">esses the demand for sanitary products. Subsequently, this also encourages brand loyalty, which is essential within the industry, with 67% of consumers sticking to the same brand of sanitary products (Mintel, 2018). </w:t>
      </w:r>
    </w:p>
    <w:p w:rsidR="00725871" w:rsidRDefault="00972067">
      <w:pPr>
        <w:pStyle w:val="BodyA"/>
      </w:pPr>
      <w:r>
        <w:lastRenderedPageBreak/>
        <w:t>It can be argued, the industry is a key</w:t>
      </w:r>
      <w:r>
        <w:t xml:space="preserve"> player of ‘Greenwashing,' predominantly the Sin of Lesser of Two Evils by “distracting the consumer from the greater environmental impacts of the category as a whole” (Terra Choice, 2009). The traditional supply chain of sanitary products can be harmful t</w:t>
      </w:r>
      <w:r>
        <w:t>o consumers and the environment across all stages of the man</w:t>
      </w:r>
      <w:r>
        <w:t>u</w:t>
      </w:r>
      <w:r>
        <w:t>facturing process, shown in the ‘cradle to grave’ Life Cycle Assessment of a typical main brand tampon in Figure 3.</w:t>
      </w:r>
      <w:r>
        <w:rPr>
          <w:noProof/>
          <w:lang w:val="en-GB"/>
        </w:rPr>
        <mc:AlternateContent>
          <mc:Choice Requires="wpg">
            <w:drawing>
              <wp:anchor distT="152400" distB="152400" distL="152400" distR="152400" simplePos="0" relativeHeight="251665408" behindDoc="0" locked="0" layoutInCell="1" allowOverlap="1">
                <wp:simplePos x="0" y="0"/>
                <wp:positionH relativeFrom="page">
                  <wp:posOffset>821690</wp:posOffset>
                </wp:positionH>
                <wp:positionV relativeFrom="line">
                  <wp:posOffset>376809</wp:posOffset>
                </wp:positionV>
                <wp:extent cx="6585736" cy="4109281"/>
                <wp:effectExtent l="0" t="0" r="0" b="0"/>
                <wp:wrapTopAndBottom distT="152400" distB="152400"/>
                <wp:docPr id="1073741840" name="officeArt object" descr="officeArt object"/>
                <wp:cNvGraphicFramePr/>
                <a:graphic xmlns:a="http://schemas.openxmlformats.org/drawingml/2006/main">
                  <a:graphicData uri="http://schemas.microsoft.com/office/word/2010/wordprocessingGroup">
                    <wpg:wgp>
                      <wpg:cNvGrpSpPr/>
                      <wpg:grpSpPr>
                        <a:xfrm>
                          <a:off x="0" y="0"/>
                          <a:ext cx="6585736" cy="4109281"/>
                          <a:chOff x="-2" y="-1"/>
                          <a:chExt cx="6585735" cy="4109280"/>
                        </a:xfrm>
                      </wpg:grpSpPr>
                      <wpg:grpSp>
                        <wpg:cNvPr id="1073741838" name="Group 1073741839"/>
                        <wpg:cNvGrpSpPr/>
                        <wpg:grpSpPr>
                          <a:xfrm>
                            <a:off x="-3" y="281204"/>
                            <a:ext cx="6585736" cy="3828075"/>
                            <a:chOff x="-1" y="-1"/>
                            <a:chExt cx="6585735" cy="3828073"/>
                          </a:xfrm>
                        </wpg:grpSpPr>
                        <pic:pic xmlns:pic="http://schemas.openxmlformats.org/drawingml/2006/picture">
                          <pic:nvPicPr>
                            <pic:cNvPr id="1073741836" name="Screen Shot 2018-11-28 at 15.44.21.png" descr="Screen Shot 2018-11-28 at 15.44.21.png"/>
                            <pic:cNvPicPr>
                              <a:picLocks noChangeAspect="1"/>
                            </pic:cNvPicPr>
                          </pic:nvPicPr>
                          <pic:blipFill>
                            <a:blip r:embed="rId14">
                              <a:extLst/>
                            </a:blip>
                            <a:stretch>
                              <a:fillRect/>
                            </a:stretch>
                          </pic:blipFill>
                          <pic:spPr>
                            <a:xfrm>
                              <a:off x="1261251" y="-2"/>
                              <a:ext cx="3631545" cy="3677517"/>
                            </a:xfrm>
                            <a:prstGeom prst="rect">
                              <a:avLst/>
                            </a:prstGeom>
                            <a:ln w="12700" cap="flat">
                              <a:noFill/>
                              <a:miter lim="400000"/>
                            </a:ln>
                            <a:effectLst/>
                          </pic:spPr>
                        </pic:pic>
                        <wps:wsp>
                          <wps:cNvPr id="1073741837" name="Shape 1073741838"/>
                          <wps:cNvSpPr txBox="1"/>
                          <wps:spPr>
                            <a:xfrm>
                              <a:off x="-2" y="3526952"/>
                              <a:ext cx="6585736" cy="301121"/>
                            </a:xfrm>
                            <a:prstGeom prst="rect">
                              <a:avLst/>
                            </a:prstGeom>
                            <a:noFill/>
                            <a:ln w="12700" cap="flat">
                              <a:noFill/>
                              <a:miter lim="400000"/>
                            </a:ln>
                            <a:effectLst/>
                          </wps:spPr>
                          <wps:txbx>
                            <w:txbxContent>
                              <w:p w:rsidR="00725871" w:rsidRDefault="00972067">
                                <w:pPr>
                                  <w:pStyle w:val="Caption"/>
                                  <w:jc w:val="right"/>
                                </w:pPr>
                                <w:r>
                                  <w:t xml:space="preserve">    (Mazgaj, Yaramenka and Malovana, 2006)</w:t>
                                </w:r>
                              </w:p>
                            </w:txbxContent>
                          </wps:txbx>
                          <wps:bodyPr wrap="square" lIns="76200" tIns="76200" rIns="76200" bIns="76200" numCol="1" anchor="t">
                            <a:noAutofit/>
                          </wps:bodyPr>
                        </wps:wsp>
                      </wpg:grpSp>
                      <wps:wsp>
                        <wps:cNvPr id="1073741839" name="Shape 1073741840"/>
                        <wps:cNvSpPr txBox="1"/>
                        <wps:spPr>
                          <a:xfrm>
                            <a:off x="334434" y="-2"/>
                            <a:ext cx="5863828" cy="308416"/>
                          </a:xfrm>
                          <a:prstGeom prst="rect">
                            <a:avLst/>
                          </a:prstGeom>
                          <a:noFill/>
                          <a:ln w="12700" cap="flat">
                            <a:noFill/>
                            <a:miter lim="400000"/>
                          </a:ln>
                          <a:effectLst/>
                        </wps:spPr>
                        <wps:txbx>
                          <w:txbxContent>
                            <w:p w:rsidR="00725871" w:rsidRDefault="00972067">
                              <w:pPr>
                                <w:pStyle w:val="BodyA"/>
                              </w:pPr>
                              <w:r>
                                <w:rPr>
                                  <w:i/>
                                  <w:iCs/>
                                </w:rPr>
                                <w:t>FIGURE 3 - Life Cycle Assessment</w:t>
                              </w:r>
                              <w:r>
                                <w:rPr>
                                  <w:i/>
                                  <w:iCs/>
                                </w:rPr>
                                <w:t xml:space="preserve"> of Disposable Tampons</w:t>
                              </w:r>
                            </w:p>
                          </w:txbxContent>
                        </wps:txbx>
                        <wps:bodyPr wrap="square" lIns="50800" tIns="50800" rIns="50800" bIns="50800" numCol="1" anchor="t">
                          <a:noAutofit/>
                        </wps:bodyPr>
                      </wps:wsp>
                    </wpg:wgp>
                  </a:graphicData>
                </a:graphic>
              </wp:anchor>
            </w:drawing>
          </mc:Choice>
          <mc:Fallback>
            <w:pict>
              <v:group id="_x0000_s1036" style="visibility:visible;position:absolute;margin-left:64.7pt;margin-top:29.7pt;width:518.6pt;height:323.6pt;z-index:251665408;mso-position-horizontal:absolute;mso-position-horizontal-relative:page;mso-position-vertical:absolute;mso-position-vertical-relative:line;mso-wrap-distance-left:12.0pt;mso-wrap-distance-top:12.0pt;mso-wrap-distance-right:12.0pt;mso-wrap-distance-bottom:12.0pt;" coordorigin="-2,-1" coordsize="6585735,4109280">
                <w10:wrap type="topAndBottom" side="bothSides" anchorx="page"/>
                <v:group id="_x0000_s1037" style="position:absolute;left:-2;top:281205;width:6585735;height:3828074;" coordorigin="-1,-1" coordsize="6585735,3828074">
                  <v:shape id="_x0000_s1038" type="#_x0000_t75" style="position:absolute;left:1261251;top:-1;width:3631544;height:3677515;">
                    <v:imagedata r:id="rId15" o:title="image2.png"/>
                  </v:shape>
                  <v:shape id="_x0000_s1039" type="#_x0000_t202" style="position:absolute;left:-1;top:3526953;width:6585735;height:301120;">
                    <v:fill on="f"/>
                    <v:stroke on="f" weight="1.0pt" dashstyle="solid" endcap="flat" miterlimit="400.0%" joinstyle="miter" linestyle="single" startarrow="none" startarrowwidth="medium" startarrowlength="medium" endarrow="none" endarrowwidth="medium" endarrowlength="medium"/>
                    <v:textbox>
                      <w:txbxContent>
                        <w:p>
                          <w:pPr>
                            <w:pStyle w:val="caption"/>
                            <w:jc w:val="right"/>
                          </w:pPr>
                          <w:r>
                            <w:rPr>
                              <w:rtl w:val="0"/>
                              <w:lang w:val="en-US"/>
                            </w:rPr>
                            <w:t xml:space="preserve">    (Mazgaj, Yaramenka and Malovana, 2006)</w:t>
                          </w:r>
                        </w:p>
                      </w:txbxContent>
                    </v:textbox>
                  </v:shape>
                </v:group>
                <v:shape id="_x0000_s1040" type="#_x0000_t202" style="position:absolute;left:334434;top:-1;width:5863827;height:30841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i w:val="1"/>
                            <w:iCs w:val="1"/>
                            <w:rtl w:val="0"/>
                            <w:lang w:val="en-US"/>
                          </w:rPr>
                          <w:t>FIGURE 3 - Life Cycle Assessment of Disposable Tampons</w:t>
                        </w:r>
                      </w:p>
                    </w:txbxContent>
                  </v:textbox>
                </v:shape>
              </v:group>
            </w:pict>
          </mc:Fallback>
        </mc:AlternateContent>
      </w:r>
    </w:p>
    <w:p w:rsidR="00725871" w:rsidRDefault="00725871">
      <w:pPr>
        <w:pStyle w:val="BodyA"/>
      </w:pPr>
    </w:p>
    <w:p w:rsidR="00725871" w:rsidRDefault="00972067">
      <w:pPr>
        <w:pStyle w:val="HeadingRedA"/>
      </w:pPr>
      <w:bookmarkStart w:id="9" w:name="_Toc8"/>
      <w:r>
        <w:rPr>
          <w:rFonts w:eastAsia="Arial Unicode MS" w:cs="Arial Unicode MS"/>
        </w:rPr>
        <w:t xml:space="preserve">2.1.3 </w:t>
      </w:r>
      <w:r>
        <w:rPr>
          <w:rFonts w:eastAsia="Arial Unicode MS" w:cs="Arial Unicode MS"/>
        </w:rPr>
        <w:t>‘</w:t>
      </w:r>
      <w:r>
        <w:rPr>
          <w:rFonts w:eastAsia="Arial Unicode MS" w:cs="Arial Unicode MS"/>
        </w:rPr>
        <w:t>'Enabling Local Cluster Development</w:t>
      </w:r>
      <w:r>
        <w:rPr>
          <w:rFonts w:eastAsia="Arial Unicode MS" w:cs="Arial Unicode MS"/>
        </w:rPr>
        <w:t xml:space="preserve">’’ </w:t>
      </w:r>
      <w:r>
        <w:rPr>
          <w:rFonts w:eastAsia="Arial Unicode MS" w:cs="Arial Unicode MS"/>
        </w:rPr>
        <w:t>Level</w:t>
      </w:r>
      <w:bookmarkEnd w:id="9"/>
    </w:p>
    <w:p w:rsidR="00725871" w:rsidRDefault="00972067">
      <w:pPr>
        <w:pStyle w:val="BodyA"/>
      </w:pPr>
      <w:r>
        <w:rPr>
          <w:rStyle w:val="Hyperlink0"/>
        </w:rPr>
        <w:t xml:space="preserve">The level of Enabling Cluster Development concentrates on ‘building the efficiency </w:t>
      </w:r>
      <w:proofErr w:type="gramStart"/>
      <w:r>
        <w:rPr>
          <w:rStyle w:val="Hyperlink0"/>
        </w:rPr>
        <w:t>of  communities</w:t>
      </w:r>
      <w:proofErr w:type="gramEnd"/>
      <w:r>
        <w:rPr>
          <w:rStyle w:val="Hyperlink0"/>
        </w:rPr>
        <w:t xml:space="preserve"> of which the company operates in, to increase business productivity and a</w:t>
      </w:r>
      <w:r>
        <w:rPr>
          <w:rStyle w:val="Hyperlink0"/>
        </w:rPr>
        <w:t>d</w:t>
      </w:r>
      <w:r>
        <w:rPr>
          <w:rStyle w:val="Hyperlink0"/>
        </w:rPr>
        <w:t xml:space="preserve">dress </w:t>
      </w:r>
      <w:r>
        <w:rPr>
          <w:rStyle w:val="Hyperlink0"/>
        </w:rPr>
        <w:t xml:space="preserve">gaps in the local business environment’ (Shared Value Initiative, 2018). Clusters are defined as “geographic concentrations of related economic activity” </w:t>
      </w:r>
      <w:r>
        <w:rPr>
          <w:lang w:val="pt-PT"/>
        </w:rPr>
        <w:t xml:space="preserve">(Delgado, Porter </w:t>
      </w:r>
      <w:r>
        <w:rPr>
          <w:rStyle w:val="Hyperlink0"/>
        </w:rPr>
        <w:t>&amp;</w:t>
      </w:r>
      <w:r>
        <w:rPr>
          <w:lang w:val="de-DE"/>
        </w:rPr>
        <w:t xml:space="preserve"> </w:t>
      </w:r>
      <w:r>
        <w:rPr>
          <w:lang w:val="de-DE"/>
        </w:rPr>
        <w:lastRenderedPageBreak/>
        <w:t>Stern, 2015</w:t>
      </w:r>
      <w:r>
        <w:rPr>
          <w:rStyle w:val="Hyperlink0"/>
        </w:rPr>
        <w:t>, p. 1) thus, the attributes of local areas directly affect business ope</w:t>
      </w:r>
      <w:r>
        <w:rPr>
          <w:rStyle w:val="Hyperlink0"/>
        </w:rPr>
        <w:t>rations wit</w:t>
      </w:r>
      <w:r>
        <w:rPr>
          <w:rStyle w:val="Hyperlink0"/>
        </w:rPr>
        <w:t>h</w:t>
      </w:r>
      <w:r>
        <w:rPr>
          <w:rStyle w:val="Hyperlink0"/>
        </w:rPr>
        <w:t xml:space="preserve">in them. </w:t>
      </w:r>
    </w:p>
    <w:p w:rsidR="00725871" w:rsidRDefault="00725871">
      <w:pPr>
        <w:pStyle w:val="BodyA"/>
      </w:pPr>
    </w:p>
    <w:p w:rsidR="00725871" w:rsidRDefault="00972067">
      <w:pPr>
        <w:pStyle w:val="BodyA"/>
      </w:pPr>
      <w:r>
        <w:t>This interdependence between company activity and the local community is shown in the</w:t>
      </w:r>
      <w:r>
        <w:rPr>
          <w:noProof/>
          <w:lang w:val="en-GB"/>
        </w:rPr>
        <mc:AlternateContent>
          <mc:Choice Requires="wpg">
            <w:drawing>
              <wp:anchor distT="152400" distB="152400" distL="152400" distR="152400" simplePos="0" relativeHeight="251668480" behindDoc="0" locked="0" layoutInCell="1" allowOverlap="1">
                <wp:simplePos x="0" y="0"/>
                <wp:positionH relativeFrom="page">
                  <wp:posOffset>808985</wp:posOffset>
                </wp:positionH>
                <wp:positionV relativeFrom="page">
                  <wp:posOffset>720091</wp:posOffset>
                </wp:positionV>
                <wp:extent cx="5938533" cy="3164976"/>
                <wp:effectExtent l="0" t="0" r="0" b="0"/>
                <wp:wrapTopAndBottom distT="152400" distB="152400"/>
                <wp:docPr id="1073741845" name="officeArt object" descr="officeArt object"/>
                <wp:cNvGraphicFramePr/>
                <a:graphic xmlns:a="http://schemas.openxmlformats.org/drawingml/2006/main">
                  <a:graphicData uri="http://schemas.microsoft.com/office/word/2010/wordprocessingGroup">
                    <wpg:wgp>
                      <wpg:cNvGrpSpPr/>
                      <wpg:grpSpPr>
                        <a:xfrm>
                          <a:off x="0" y="0"/>
                          <a:ext cx="5938533" cy="3164976"/>
                          <a:chOff x="0" y="-1"/>
                          <a:chExt cx="5938532" cy="3164975"/>
                        </a:xfrm>
                      </wpg:grpSpPr>
                      <wpg:grpSp>
                        <wpg:cNvPr id="1073741843" name="Group 1073741845"/>
                        <wpg:cNvGrpSpPr/>
                        <wpg:grpSpPr>
                          <a:xfrm>
                            <a:off x="484761" y="356342"/>
                            <a:ext cx="5453772" cy="2808633"/>
                            <a:chOff x="-1" y="-1"/>
                            <a:chExt cx="5453770" cy="2808632"/>
                          </a:xfrm>
                        </wpg:grpSpPr>
                        <pic:pic xmlns:pic="http://schemas.openxmlformats.org/drawingml/2006/picture">
                          <pic:nvPicPr>
                            <pic:cNvPr id="1073741841" name="Untitled.pdf" descr="Untitled.pdf"/>
                            <pic:cNvPicPr>
                              <a:picLocks noChangeAspect="1"/>
                            </pic:cNvPicPr>
                          </pic:nvPicPr>
                          <pic:blipFill>
                            <a:blip r:embed="rId16">
                              <a:extLst/>
                            </a:blip>
                            <a:stretch>
                              <a:fillRect/>
                            </a:stretch>
                          </pic:blipFill>
                          <pic:spPr>
                            <a:xfrm>
                              <a:off x="177798" y="-2"/>
                              <a:ext cx="4225647" cy="2493003"/>
                            </a:xfrm>
                            <a:prstGeom prst="rect">
                              <a:avLst/>
                            </a:prstGeom>
                            <a:ln w="12700" cap="flat">
                              <a:noFill/>
                              <a:miter lim="400000"/>
                            </a:ln>
                            <a:effectLst/>
                          </pic:spPr>
                        </pic:pic>
                        <wps:wsp>
                          <wps:cNvPr id="1073741842" name="Shape 1073741844"/>
                          <wps:cNvSpPr txBox="1"/>
                          <wps:spPr>
                            <a:xfrm>
                              <a:off x="-2" y="2492999"/>
                              <a:ext cx="5453772" cy="315633"/>
                            </a:xfrm>
                            <a:prstGeom prst="rect">
                              <a:avLst/>
                            </a:prstGeom>
                            <a:noFill/>
                            <a:ln w="12700" cap="flat">
                              <a:noFill/>
                              <a:miter lim="400000"/>
                            </a:ln>
                            <a:effectLst/>
                          </wps:spPr>
                          <wps:txbx>
                            <w:txbxContent>
                              <w:p w:rsidR="00725871" w:rsidRDefault="00972067">
                                <w:pPr>
                                  <w:pStyle w:val="Caption"/>
                                  <w:jc w:val="right"/>
                                </w:pPr>
                                <w:r>
                                  <w:t>Adapted from levett (1998)</w:t>
                                </w:r>
                              </w:p>
                            </w:txbxContent>
                          </wps:txbx>
                          <wps:bodyPr wrap="square" lIns="76200" tIns="76200" rIns="76200" bIns="76200" numCol="1" anchor="t">
                            <a:noAutofit/>
                          </wps:bodyPr>
                        </wps:wsp>
                      </wpg:grpSp>
                      <wps:wsp>
                        <wps:cNvPr id="1073741844" name="Shape 1073741846"/>
                        <wps:cNvSpPr txBox="1"/>
                        <wps:spPr>
                          <a:xfrm>
                            <a:off x="-1" y="-2"/>
                            <a:ext cx="4397688" cy="295976"/>
                          </a:xfrm>
                          <a:prstGeom prst="rect">
                            <a:avLst/>
                          </a:prstGeom>
                          <a:noFill/>
                          <a:ln w="12700" cap="flat">
                            <a:noFill/>
                            <a:miter lim="400000"/>
                          </a:ln>
                          <a:effectLst/>
                        </wps:spPr>
                        <wps:txbx>
                          <w:txbxContent>
                            <w:p w:rsidR="00725871" w:rsidRDefault="00972067">
                              <w:pPr>
                                <w:pStyle w:val="BodyA"/>
                              </w:pPr>
                              <w:r>
                                <w:rPr>
                                  <w:i/>
                                  <w:iCs/>
                                </w:rPr>
                                <w:t xml:space="preserve">FIGURE 5 - Russian Doll Model of Sustainability  </w:t>
                              </w:r>
                            </w:p>
                          </w:txbxContent>
                        </wps:txbx>
                        <wps:bodyPr wrap="square" lIns="50800" tIns="50800" rIns="50800" bIns="50800" numCol="1" anchor="t">
                          <a:noAutofit/>
                        </wps:bodyPr>
                      </wps:wsp>
                    </wpg:wgp>
                  </a:graphicData>
                </a:graphic>
              </wp:anchor>
            </w:drawing>
          </mc:Choice>
          <mc:Fallback>
            <w:pict>
              <v:group id="_x0000_s1041" style="visibility:visible;position:absolute;margin-left:63.7pt;margin-top:56.7pt;width:467.6pt;height:249.2pt;z-index:251668480;mso-position-horizontal:absolute;mso-position-horizontal-relative:page;mso-position-vertical:absolute;mso-position-vertical-relative:page;mso-wrap-distance-left:12.0pt;mso-wrap-distance-top:12.0pt;mso-wrap-distance-right:12.0pt;mso-wrap-distance-bottom:12.0pt;" coordorigin="-1,-1" coordsize="5938533,3164976">
                <w10:wrap type="topAndBottom" side="bothSides" anchorx="page" anchory="page"/>
                <v:group id="_x0000_s1042" style="position:absolute;left:484761;top:356342;width:5453771;height:2808633;" coordorigin="-2,-1" coordsize="5453771,2808633">
                  <v:shape id="_x0000_s1043" type="#_x0000_t75" style="position:absolute;left:177798;top:-1;width:4225646;height:2493002;">
                    <v:imagedata r:id="rId17" o:title="image3.png"/>
                  </v:shape>
                  <v:shape id="_x0000_s1044" type="#_x0000_t202" style="position:absolute;left:-2;top:2493000;width:5453771;height:315632;">
                    <v:fill on="f"/>
                    <v:stroke on="f" weight="1.0pt" dashstyle="solid" endcap="flat" miterlimit="400.0%" joinstyle="miter" linestyle="single" startarrow="none" startarrowwidth="medium" startarrowlength="medium" endarrow="none" endarrowwidth="medium" endarrowlength="medium"/>
                    <v:textbox>
                      <w:txbxContent>
                        <w:p>
                          <w:pPr>
                            <w:pStyle w:val="caption"/>
                            <w:jc w:val="right"/>
                          </w:pPr>
                          <w:r>
                            <w:rPr>
                              <w:rtl w:val="0"/>
                              <w:lang w:val="en-US"/>
                            </w:rPr>
                            <w:t>Adapted from levett (1998)</w:t>
                          </w:r>
                        </w:p>
                      </w:txbxContent>
                    </v:textbox>
                  </v:shape>
                </v:group>
                <v:shape id="_x0000_s1045" type="#_x0000_t202" style="position:absolute;left:-1;top:-1;width:4397688;height:29597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i w:val="1"/>
                            <w:iCs w:val="1"/>
                            <w:rtl w:val="0"/>
                            <w:lang w:val="en-US"/>
                          </w:rPr>
                          <w:t xml:space="preserve">FIGURE 5 - Russian Doll Model of Sustainability  </w:t>
                        </w:r>
                      </w:p>
                    </w:txbxContent>
                  </v:textbox>
                </v:shape>
              </v:group>
            </w:pict>
          </mc:Fallback>
        </mc:AlternateContent>
      </w:r>
      <w:r>
        <w:t xml:space="preserve"> rise of social enterprises in the industry. XXX (</w:t>
      </w:r>
      <w:proofErr w:type="spellStart"/>
      <w:r>
        <w:t>n.d</w:t>
      </w:r>
      <w:proofErr w:type="spellEnd"/>
      <w:r>
        <w:t>) produce reu</w:t>
      </w:r>
      <w:r>
        <w:t xml:space="preserve">sable menstruation kits that offer a sustainable alternative to disposable sanitary products. </w:t>
      </w:r>
    </w:p>
    <w:p w:rsidR="00725871" w:rsidRDefault="00972067">
      <w:pPr>
        <w:pStyle w:val="BodyA"/>
      </w:pPr>
      <w:r>
        <w:t xml:space="preserve">Figure 4 shows part of their mission is to “create livelihoods," by basing their operations in Uganda, the company provide full-time, formal employment to over </w:t>
      </w:r>
      <w:r>
        <w:t>150 local workers,  to overcome barriers to employment in the rural economy. XXX has sold over 2.3 million menstrual kits globally, allowing them to empower, not only the women using their pro</w:t>
      </w:r>
      <w:r>
        <w:t>d</w:t>
      </w:r>
      <w:r>
        <w:t>ucts, but with a 90% female workforce, improve the local busine</w:t>
      </w:r>
      <w:r>
        <w:t>ss infrastructure by provi</w:t>
      </w:r>
      <w:r>
        <w:t>d</w:t>
      </w:r>
      <w:r>
        <w:t xml:space="preserve">ing stable employment and access to financial independence. </w:t>
      </w:r>
      <w:proofErr w:type="gramStart"/>
      <w:r>
        <w:t xml:space="preserve">(XXX, </w:t>
      </w:r>
      <w:proofErr w:type="spellStart"/>
      <w:r>
        <w:t>n.d</w:t>
      </w:r>
      <w:proofErr w:type="spellEnd"/>
      <w:r>
        <w:t>).</w:t>
      </w:r>
      <w:proofErr w:type="gramEnd"/>
      <w:r>
        <w:rPr>
          <w:noProof/>
          <w:lang w:val="en-GB"/>
        </w:rPr>
        <mc:AlternateContent>
          <mc:Choice Requires="wps">
            <w:drawing>
              <wp:anchor distT="152400" distB="152400" distL="152400" distR="152400" simplePos="0" relativeHeight="251667456" behindDoc="0" locked="0" layoutInCell="1" allowOverlap="1">
                <wp:simplePos x="0" y="0"/>
                <wp:positionH relativeFrom="page">
                  <wp:posOffset>713741</wp:posOffset>
                </wp:positionH>
                <wp:positionV relativeFrom="line">
                  <wp:posOffset>309042</wp:posOffset>
                </wp:positionV>
                <wp:extent cx="4055336" cy="308411"/>
                <wp:effectExtent l="0" t="0" r="0" b="0"/>
                <wp:wrapTopAndBottom distT="152400" distB="152400"/>
                <wp:docPr id="1073741846" name="officeArt object" descr="officeArt object"/>
                <wp:cNvGraphicFramePr/>
                <a:graphic xmlns:a="http://schemas.openxmlformats.org/drawingml/2006/main">
                  <a:graphicData uri="http://schemas.microsoft.com/office/word/2010/wordprocessingShape">
                    <wps:wsp>
                      <wps:cNvSpPr txBox="1"/>
                      <wps:spPr>
                        <a:xfrm>
                          <a:off x="0" y="0"/>
                          <a:ext cx="4055336" cy="308411"/>
                        </a:xfrm>
                        <a:prstGeom prst="rect">
                          <a:avLst/>
                        </a:prstGeom>
                        <a:noFill/>
                        <a:ln w="12700" cap="flat">
                          <a:noFill/>
                          <a:miter lim="400000"/>
                        </a:ln>
                        <a:effectLst/>
                      </wps:spPr>
                      <wps:txbx>
                        <w:txbxContent>
                          <w:p w:rsidR="00725871" w:rsidRDefault="00972067">
                            <w:pPr>
                              <w:pStyle w:val="BodyA"/>
                              <w:jc w:val="center"/>
                            </w:pPr>
                            <w:r>
                              <w:rPr>
                                <w:b/>
                                <w:bCs/>
                                <w:i/>
                                <w:iCs/>
                                <w:sz w:val="28"/>
                                <w:szCs w:val="28"/>
                              </w:rPr>
                              <w:t>FIGURE 4 - XXX Local Employment Mission</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56.2pt;margin-top:24.3pt;width:319.3pt;height:24.3pt;z-index:251667456;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b w:val="1"/>
                          <w:bCs w:val="1"/>
                          <w:i w:val="1"/>
                          <w:iCs w:val="1"/>
                          <w:sz w:val="28"/>
                          <w:szCs w:val="28"/>
                          <w:rtl w:val="0"/>
                          <w:lang w:val="en-US"/>
                        </w:rPr>
                        <w:t>FIGURE 4 - XXX Local Employment Mission</w:t>
                      </w:r>
                    </w:p>
                  </w:txbxContent>
                </v:textbox>
                <w10:wrap type="topAndBottom" side="bothSides" anchorx="page"/>
              </v:shape>
            </w:pict>
          </mc:Fallback>
        </mc:AlternateContent>
      </w:r>
    </w:p>
    <w:p w:rsidR="00725871" w:rsidRDefault="00972067">
      <w:pPr>
        <w:pStyle w:val="BodyA"/>
      </w:pPr>
      <w:r>
        <w:t>However, the individual business model of XXX may not be representative of the industry as a whole. Moreover, Cran</w:t>
      </w:r>
      <w:r>
        <w:t xml:space="preserve">e et.al (2014) argue CSV theory is limited as societal needs </w:t>
      </w:r>
      <w:r>
        <w:lastRenderedPageBreak/>
        <w:t xml:space="preserve">are an unlikely driver of cluster development, it also fails to address the problem of local inequalities as a result of uneven income distribution from cluster development. </w:t>
      </w:r>
    </w:p>
    <w:p w:rsidR="00725871" w:rsidRDefault="00725871">
      <w:pPr>
        <w:pStyle w:val="BodyA"/>
      </w:pPr>
    </w:p>
    <w:p w:rsidR="00725871" w:rsidRDefault="00972067">
      <w:pPr>
        <w:pStyle w:val="Heading2"/>
      </w:pPr>
      <w:bookmarkStart w:id="10" w:name="_Toc9"/>
      <w:r>
        <w:rPr>
          <w:rStyle w:val="Hyperlink0"/>
          <w:rFonts w:eastAsia="Arial Unicode MS" w:cs="Arial Unicode MS"/>
        </w:rPr>
        <w:t>2.2 Evaluation of X</w:t>
      </w:r>
      <w:r>
        <w:rPr>
          <w:rStyle w:val="Hyperlink0"/>
          <w:rFonts w:eastAsia="Arial Unicode MS" w:cs="Arial Unicode MS"/>
        </w:rPr>
        <w:t>XX Health Products Ltd.</w:t>
      </w:r>
      <w:r>
        <w:rPr>
          <w:rFonts w:eastAsia="Arial Unicode MS" w:cs="Arial Unicode MS"/>
        </w:rPr>
        <w:t>’</w:t>
      </w:r>
      <w:r>
        <w:rPr>
          <w:rFonts w:eastAsia="Arial Unicode MS" w:cs="Arial Unicode MS"/>
        </w:rPr>
        <w:t>s</w:t>
      </w:r>
      <w:r>
        <w:rPr>
          <w:rStyle w:val="Hyperlink0"/>
          <w:rFonts w:eastAsia="Arial Unicode MS" w:cs="Arial Unicode MS"/>
        </w:rPr>
        <w:t xml:space="preserve"> Campaign</w:t>
      </w:r>
      <w:bookmarkEnd w:id="10"/>
    </w:p>
    <w:p w:rsidR="00725871" w:rsidRDefault="00972067">
      <w:pPr>
        <w:pStyle w:val="BodyA"/>
      </w:pPr>
      <w:r>
        <w:t>The following section seeks to critically assess the sustainability of XXX’s business oper</w:t>
      </w:r>
      <w:r>
        <w:t>a</w:t>
      </w:r>
      <w:r>
        <w:t>tions, primarily referring to the Crowdfunding campaign. The main mission of XXX enca</w:t>
      </w:r>
      <w:r>
        <w:t>p</w:t>
      </w:r>
      <w:r>
        <w:t>sulates breaking down barriers for women, st</w:t>
      </w:r>
      <w:r>
        <w:t>emming from women’s basic bodily function of menstruation and the associated social stigma and economic challenges. Their ca</w:t>
      </w:r>
      <w:r>
        <w:t>m</w:t>
      </w:r>
      <w:r>
        <w:t>paign raised £3435 in 42 days to support business expansion through increased marketing and improved product packaging (</w:t>
      </w:r>
      <w:proofErr w:type="spellStart"/>
      <w:r>
        <w:t>Crowdfunder</w:t>
      </w:r>
      <w:proofErr w:type="spellEnd"/>
      <w:r>
        <w:t xml:space="preserve"> UK, </w:t>
      </w:r>
      <w:proofErr w:type="spellStart"/>
      <w:r>
        <w:t>n.d</w:t>
      </w:r>
      <w:proofErr w:type="spellEnd"/>
      <w:r>
        <w:t>).</w:t>
      </w:r>
    </w:p>
    <w:p w:rsidR="00725871" w:rsidRDefault="00725871">
      <w:pPr>
        <w:pStyle w:val="BodyA"/>
      </w:pPr>
    </w:p>
    <w:p w:rsidR="00725871" w:rsidRDefault="00972067">
      <w:pPr>
        <w:pStyle w:val="HeadingRedA"/>
      </w:pPr>
      <w:bookmarkStart w:id="11" w:name="_Toc10"/>
      <w:r>
        <w:rPr>
          <w:rFonts w:eastAsia="Arial Unicode MS" w:cs="Arial Unicode MS"/>
        </w:rPr>
        <w:t>2.2.1 Introduction to Sustainability Theory</w:t>
      </w:r>
      <w:bookmarkEnd w:id="11"/>
    </w:p>
    <w:p w:rsidR="00725871" w:rsidRDefault="00972067">
      <w:pPr>
        <w:pStyle w:val="BodyA"/>
      </w:pPr>
      <w:r>
        <w:t xml:space="preserve">In order to </w:t>
      </w:r>
      <w:proofErr w:type="spellStart"/>
      <w:r>
        <w:t>conceptualise</w:t>
      </w:r>
      <w:proofErr w:type="spellEnd"/>
      <w:r>
        <w:t xml:space="preserve"> XXX’s operations in terms of sustainability, it is important to d</w:t>
      </w:r>
      <w:r>
        <w:t>e</w:t>
      </w:r>
      <w:r>
        <w:t xml:space="preserve">termine an understanding of what sustainability means. The </w:t>
      </w:r>
      <w:proofErr w:type="spellStart"/>
      <w:r>
        <w:t>Brundtland</w:t>
      </w:r>
      <w:proofErr w:type="spellEnd"/>
      <w:r>
        <w:t xml:space="preserve"> Commission (1987, ch.2) defines sustai</w:t>
      </w:r>
      <w:r>
        <w:t xml:space="preserve">nable development as “development that meets the needs of the present without compromising the ability of future generations to meet their own needs”. Increasingly, focus has been on the ability of business’ to uphold and increase sustainability practices </w:t>
      </w:r>
      <w:r>
        <w:t xml:space="preserve">within the economy. </w:t>
      </w:r>
      <w:proofErr w:type="spellStart"/>
      <w:r>
        <w:t>Levett</w:t>
      </w:r>
      <w:proofErr w:type="spellEnd"/>
      <w:r>
        <w:t xml:space="preserve"> (1998) provides a useful theory to a</w:t>
      </w:r>
      <w:r>
        <w:t>s</w:t>
      </w:r>
      <w:r>
        <w:t>sess the intangible features of sustainability through primary ‘indicators’; environmental, social and economic, Figure 5 demonstrates this Russian Doll Model of Sustainability. This model pre</w:t>
      </w:r>
      <w:r>
        <w:t>sents the idea that society must subsist within the limits of the environment, and the economy is a social construct to satisfy societal needs (</w:t>
      </w:r>
      <w:proofErr w:type="spellStart"/>
      <w:r>
        <w:t>Levett</w:t>
      </w:r>
      <w:proofErr w:type="spellEnd"/>
      <w:r>
        <w:t>, 1998).</w:t>
      </w:r>
    </w:p>
    <w:p w:rsidR="00725871" w:rsidRDefault="00725871">
      <w:pPr>
        <w:pStyle w:val="HeadingRedA"/>
      </w:pPr>
    </w:p>
    <w:p w:rsidR="00725871" w:rsidRDefault="00972067">
      <w:pPr>
        <w:pStyle w:val="HeadingRedA"/>
      </w:pPr>
      <w:bookmarkStart w:id="12" w:name="_Toc11"/>
      <w:r>
        <w:rPr>
          <w:rFonts w:eastAsia="Arial Unicode MS" w:cs="Arial Unicode MS"/>
        </w:rPr>
        <w:t>2.2.2 Environmental Aspect</w:t>
      </w:r>
      <w:bookmarkEnd w:id="12"/>
    </w:p>
    <w:p w:rsidR="00725871" w:rsidRDefault="00972067">
      <w:pPr>
        <w:pStyle w:val="BodyA"/>
      </w:pPr>
      <w:r>
        <w:t>Referring to the Russian Doll Model, the campaign states XXX produces</w:t>
      </w:r>
      <w:r>
        <w:t xml:space="preserve"> tampons made from “100% certified organic cotton” which ensures they are eco-friendly due to the avoi</w:t>
      </w:r>
      <w:r>
        <w:t>d</w:t>
      </w:r>
      <w:r>
        <w:lastRenderedPageBreak/>
        <w:t xml:space="preserve">ance of harmful pesticides and chemicals (Soil Association, </w:t>
      </w:r>
      <w:proofErr w:type="spellStart"/>
      <w:r>
        <w:t>n.d</w:t>
      </w:r>
      <w:proofErr w:type="spellEnd"/>
      <w:r>
        <w:t>). Moreover, on average, a woman will use 11,000 disposable sanitary products in a lifetim</w:t>
      </w:r>
      <w:r>
        <w:t>e, (</w:t>
      </w:r>
      <w:proofErr w:type="spellStart"/>
      <w:r>
        <w:t>Ahpma</w:t>
      </w:r>
      <w:proofErr w:type="spellEnd"/>
      <w:r>
        <w:t>, 2007). Howe</w:t>
      </w:r>
      <w:r>
        <w:t>v</w:t>
      </w:r>
      <w:r>
        <w:t>er, once used, these products are not recyclable, thus, in order to be environmentally co</w:t>
      </w:r>
      <w:r>
        <w:t>n</w:t>
      </w:r>
      <w:r>
        <w:t>scious, XXX aims to offer biodegradable products by ensuring cotton is the only ingredient (XXX, 2018).</w:t>
      </w:r>
    </w:p>
    <w:p w:rsidR="00725871" w:rsidRDefault="00972067">
      <w:pPr>
        <w:pStyle w:val="BodyA"/>
      </w:pPr>
      <w:r>
        <w:t>Their campaign fails to mention XXX san</w:t>
      </w:r>
      <w:r>
        <w:t>itary pads concord to the Nordic Swan Label (XXX, 2018). This means pads adhere to strict regulations regards materials and manufa</w:t>
      </w:r>
      <w:r>
        <w:t>c</w:t>
      </w:r>
      <w:r>
        <w:t xml:space="preserve">turing and are subject to inspection to ensure the company is environmentally compliant (Nordic Ecolabelling, 2018). This is </w:t>
      </w:r>
      <w:r>
        <w:t>a key factor of XXX’s environmental considerations, as the voluntary eco-label promotes a circular economy, shown in Fig. 6. The Nordic Swan criteria aims to stimulate longevity in the product life cycle that ensures sustainability at all stages, from prod</w:t>
      </w:r>
      <w:r>
        <w:t>uction to disposal, this not only reduces the environmental impacts but also provides visible proof of sustainability.</w:t>
      </w:r>
      <w:r>
        <w:rPr>
          <w:noProof/>
          <w:lang w:val="en-GB"/>
        </w:rPr>
        <mc:AlternateContent>
          <mc:Choice Requires="wpg">
            <w:drawing>
              <wp:anchor distT="152400" distB="152400" distL="152400" distR="152400" simplePos="0" relativeHeight="251669504" behindDoc="0" locked="0" layoutInCell="1" allowOverlap="1">
                <wp:simplePos x="0" y="0"/>
                <wp:positionH relativeFrom="page">
                  <wp:posOffset>720090</wp:posOffset>
                </wp:positionH>
                <wp:positionV relativeFrom="line">
                  <wp:posOffset>539782</wp:posOffset>
                </wp:positionV>
                <wp:extent cx="5917015" cy="3171998"/>
                <wp:effectExtent l="0" t="0" r="0" b="0"/>
                <wp:wrapTopAndBottom distT="152400" distB="152400"/>
                <wp:docPr id="1073741851" name="officeArt object" descr="officeArt object"/>
                <wp:cNvGraphicFramePr/>
                <a:graphic xmlns:a="http://schemas.openxmlformats.org/drawingml/2006/main">
                  <a:graphicData uri="http://schemas.microsoft.com/office/word/2010/wordprocessingGroup">
                    <wpg:wgp>
                      <wpg:cNvGrpSpPr/>
                      <wpg:grpSpPr>
                        <a:xfrm>
                          <a:off x="0" y="0"/>
                          <a:ext cx="5917015" cy="3171998"/>
                          <a:chOff x="0" y="0"/>
                          <a:chExt cx="5917014" cy="3171997"/>
                        </a:xfrm>
                      </wpg:grpSpPr>
                      <wpg:grpSp>
                        <wpg:cNvPr id="1073741849" name="Group 1073741850"/>
                        <wpg:cNvGrpSpPr/>
                        <wpg:grpSpPr>
                          <a:xfrm>
                            <a:off x="578924" y="301663"/>
                            <a:ext cx="5338091" cy="2870334"/>
                            <a:chOff x="0" y="0"/>
                            <a:chExt cx="5338090" cy="2870333"/>
                          </a:xfrm>
                        </wpg:grpSpPr>
                        <pic:pic xmlns:pic="http://schemas.openxmlformats.org/drawingml/2006/picture">
                          <pic:nvPicPr>
                            <pic:cNvPr id="1073741847" name="CIRCULAR ECONOMY.png" descr="CIRCULAR ECONOMY.png"/>
                            <pic:cNvPicPr>
                              <a:picLocks noChangeAspect="1"/>
                            </pic:cNvPicPr>
                          </pic:nvPicPr>
                          <pic:blipFill>
                            <a:blip r:embed="rId18">
                              <a:extLst/>
                            </a:blip>
                            <a:stretch>
                              <a:fillRect/>
                            </a:stretch>
                          </pic:blipFill>
                          <pic:spPr>
                            <a:xfrm>
                              <a:off x="822817" y="-1"/>
                              <a:ext cx="3692455" cy="2569216"/>
                            </a:xfrm>
                            <a:prstGeom prst="rect">
                              <a:avLst/>
                            </a:prstGeom>
                            <a:ln w="12700" cap="flat">
                              <a:noFill/>
                              <a:miter lim="400000"/>
                            </a:ln>
                            <a:effectLst/>
                          </pic:spPr>
                        </pic:pic>
                        <wps:wsp>
                          <wps:cNvPr id="1073741848" name="Shape 1073741849"/>
                          <wps:cNvSpPr txBox="1"/>
                          <wps:spPr>
                            <a:xfrm>
                              <a:off x="-1" y="2569213"/>
                              <a:ext cx="5338091" cy="301121"/>
                            </a:xfrm>
                            <a:prstGeom prst="rect">
                              <a:avLst/>
                            </a:prstGeom>
                            <a:noFill/>
                            <a:ln w="12700" cap="flat">
                              <a:noFill/>
                              <a:miter lim="400000"/>
                            </a:ln>
                            <a:effectLst/>
                          </wps:spPr>
                          <wps:txbx>
                            <w:txbxContent>
                              <w:p w:rsidR="00725871" w:rsidRDefault="00972067">
                                <w:pPr>
                                  <w:pStyle w:val="Caption"/>
                                  <w:jc w:val="right"/>
                                </w:pPr>
                                <w:r>
                                  <w:t>(nordic ecolabelling, 2018)</w:t>
                                </w:r>
                              </w:p>
                            </w:txbxContent>
                          </wps:txbx>
                          <wps:bodyPr wrap="square" lIns="76200" tIns="76200" rIns="76200" bIns="76200" numCol="1" anchor="t">
                            <a:noAutofit/>
                          </wps:bodyPr>
                        </wps:wsp>
                      </wpg:grpSp>
                      <wps:wsp>
                        <wps:cNvPr id="1073741850" name="Shape 1073741851"/>
                        <wps:cNvSpPr txBox="1"/>
                        <wps:spPr>
                          <a:xfrm>
                            <a:off x="0" y="-1"/>
                            <a:ext cx="4304406" cy="310693"/>
                          </a:xfrm>
                          <a:prstGeom prst="rect">
                            <a:avLst/>
                          </a:prstGeom>
                          <a:noFill/>
                          <a:ln w="12700" cap="flat">
                            <a:noFill/>
                            <a:miter lim="400000"/>
                          </a:ln>
                          <a:effectLst/>
                        </wps:spPr>
                        <wps:txbx>
                          <w:txbxContent>
                            <w:p w:rsidR="00725871" w:rsidRDefault="00972067">
                              <w:pPr>
                                <w:pStyle w:val="BodyA"/>
                              </w:pPr>
                              <w:r>
                                <w:rPr>
                                  <w:i/>
                                  <w:iCs/>
                                </w:rPr>
                                <w:t>FIGURE 6 - Nordic Swan Eco-Label Circular Economy</w:t>
                              </w:r>
                            </w:p>
                          </w:txbxContent>
                        </wps:txbx>
                        <wps:bodyPr wrap="square" lIns="50800" tIns="50800" rIns="50800" bIns="50800" numCol="1" anchor="t">
                          <a:noAutofit/>
                        </wps:bodyPr>
                      </wps:wsp>
                    </wpg:wgp>
                  </a:graphicData>
                </a:graphic>
              </wp:anchor>
            </w:drawing>
          </mc:Choice>
          <mc:Fallback>
            <w:pict>
              <v:group id="_x0000_s1047" style="visibility:visible;position:absolute;margin-left:56.7pt;margin-top:42.5pt;width:465.9pt;height:249.8pt;z-index:251669504;mso-position-horizontal:absolute;mso-position-horizontal-relative:page;mso-position-vertical:absolute;mso-position-vertical-relative:line;mso-wrap-distance-left:12.0pt;mso-wrap-distance-top:12.0pt;mso-wrap-distance-right:12.0pt;mso-wrap-distance-bottom:12.0pt;" coordorigin="0,-1" coordsize="5917014,3171998">
                <w10:wrap type="topAndBottom" side="bothSides" anchorx="page"/>
                <v:group id="_x0000_s1048" style="position:absolute;left:578924;top:301663;width:5338090;height:2870333;" coordorigin="-1,0" coordsize="5338090,2870333">
                  <v:shape id="_x0000_s1049" type="#_x0000_t75" style="position:absolute;left:822817;top:0;width:3692454;height:2569214;">
                    <v:imagedata r:id="rId19" o:title="image4.png"/>
                  </v:shape>
                  <v:shape id="_x0000_s1050" type="#_x0000_t202" style="position:absolute;left:-1;top:2569213;width:5338090;height:301120;">
                    <v:fill on="f"/>
                    <v:stroke on="f" weight="1.0pt" dashstyle="solid" endcap="flat" miterlimit="400.0%" joinstyle="miter" linestyle="single" startarrow="none" startarrowwidth="medium" startarrowlength="medium" endarrow="none" endarrowwidth="medium" endarrowlength="medium"/>
                    <v:textbox>
                      <w:txbxContent>
                        <w:p>
                          <w:pPr>
                            <w:pStyle w:val="caption"/>
                            <w:jc w:val="right"/>
                          </w:pPr>
                          <w:r>
                            <w:rPr>
                              <w:rtl w:val="0"/>
                              <w:lang w:val="en-US"/>
                            </w:rPr>
                            <w:t>(nordic ecolabelling, 2018)</w:t>
                          </w:r>
                        </w:p>
                      </w:txbxContent>
                    </v:textbox>
                  </v:shape>
                </v:group>
                <v:shape id="_x0000_s1051" type="#_x0000_t202" style="position:absolute;left:0;top:-1;width:4304405;height:310692;">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i w:val="1"/>
                            <w:iCs w:val="1"/>
                            <w:rtl w:val="0"/>
                            <w:lang w:val="en-US"/>
                          </w:rPr>
                          <w:t>FIGURE 6 - Nordic Swan Eco-Label Circular Economy</w:t>
                        </w:r>
                      </w:p>
                    </w:txbxContent>
                  </v:textbox>
                </v:shape>
              </v:group>
            </w:pict>
          </mc:Fallback>
        </mc:AlternateContent>
      </w:r>
      <w:r>
        <w:t xml:space="preserve"> </w:t>
      </w:r>
    </w:p>
    <w:p w:rsidR="00725871" w:rsidRDefault="00972067">
      <w:pPr>
        <w:pStyle w:val="HeadingRedA"/>
      </w:pPr>
      <w:bookmarkStart w:id="13" w:name="_Toc12"/>
      <w:r>
        <w:rPr>
          <w:rFonts w:eastAsia="Arial Unicode MS" w:cs="Arial Unicode MS"/>
        </w:rPr>
        <w:t>2.2.3 Social Aspect</w:t>
      </w:r>
      <w:bookmarkEnd w:id="13"/>
    </w:p>
    <w:p w:rsidR="00725871" w:rsidRDefault="00972067">
      <w:pPr>
        <w:pStyle w:val="BodyA"/>
      </w:pPr>
      <w:r>
        <w:rPr>
          <w:rStyle w:val="Hyperlink0"/>
        </w:rPr>
        <w:t xml:space="preserve">The campaign shows </w:t>
      </w:r>
      <w:r>
        <w:rPr>
          <w:lang w:val="da-DK"/>
        </w:rPr>
        <w:t xml:space="preserve">XXX </w:t>
      </w:r>
      <w:r>
        <w:rPr>
          <w:rStyle w:val="Hyperlink0"/>
        </w:rPr>
        <w:t>focuses on</w:t>
      </w:r>
      <w:r>
        <w:rPr>
          <w:rStyle w:val="Hyperlink0"/>
        </w:rPr>
        <w:t xml:space="preserve"> the social benefits of its products, the key attribute being transparency across the manufacturing phase. Presently, sanitary product manufa</w:t>
      </w:r>
      <w:r>
        <w:rPr>
          <w:rStyle w:val="Hyperlink0"/>
        </w:rPr>
        <w:t>c</w:t>
      </w:r>
      <w:r>
        <w:rPr>
          <w:rStyle w:val="Hyperlink0"/>
        </w:rPr>
        <w:lastRenderedPageBreak/>
        <w:t xml:space="preserve">turers are not legally required to disclose ingredients, meaning women using unregulated conventional tampons are </w:t>
      </w:r>
      <w:r>
        <w:rPr>
          <w:rStyle w:val="Hyperlink0"/>
        </w:rPr>
        <w:t>exposed to potentially harmful toxins, chemicals and pesticides (</w:t>
      </w:r>
      <w:proofErr w:type="spellStart"/>
      <w:r>
        <w:rPr>
          <w:rStyle w:val="Hyperlink0"/>
        </w:rPr>
        <w:t>Donsky</w:t>
      </w:r>
      <w:proofErr w:type="spellEnd"/>
      <w:r>
        <w:rPr>
          <w:rStyle w:val="Hyperlink0"/>
        </w:rPr>
        <w:t>, 2013). Adhering to the voluntary Nordic Swan label means XXX goes above l</w:t>
      </w:r>
      <w:r>
        <w:rPr>
          <w:rStyle w:val="Hyperlink0"/>
        </w:rPr>
        <w:t>e</w:t>
      </w:r>
      <w:r>
        <w:rPr>
          <w:rStyle w:val="Hyperlink0"/>
        </w:rPr>
        <w:t>gal obligations, supplementing a CSV strategy (Porter &amp; Kramer, 2011).</w:t>
      </w:r>
    </w:p>
    <w:p w:rsidR="00725871" w:rsidRDefault="00972067">
      <w:pPr>
        <w:pStyle w:val="BodyA"/>
      </w:pPr>
      <w:r>
        <w:t>Their partnership with two charities i</w:t>
      </w:r>
      <w:r>
        <w:t>s highlighted on the campaign, focusing on improving access to sanitary products. Although, it fails to explain exactly how it helps these char</w:t>
      </w:r>
      <w:r>
        <w:t>i</w:t>
      </w:r>
      <w:r>
        <w:t>ties, whereby XXX incorporate a ‘giveback’ pledge by giving part of their profits to the cha</w:t>
      </w:r>
      <w:r>
        <w:t>r</w:t>
      </w:r>
      <w:r>
        <w:t xml:space="preserve">ities and donating </w:t>
      </w:r>
      <w:r>
        <w:t>their own products for the cause (XXX, 2018).</w:t>
      </w:r>
    </w:p>
    <w:p w:rsidR="00725871" w:rsidRDefault="00725871">
      <w:pPr>
        <w:pStyle w:val="BodyA"/>
      </w:pPr>
    </w:p>
    <w:p w:rsidR="00725871" w:rsidRDefault="00972067">
      <w:pPr>
        <w:pStyle w:val="HeadingRedA"/>
      </w:pPr>
      <w:bookmarkStart w:id="14" w:name="_Toc13"/>
      <w:r>
        <w:rPr>
          <w:rFonts w:eastAsia="Arial Unicode MS" w:cs="Arial Unicode MS"/>
        </w:rPr>
        <w:t>2.2.4 Economic Aspect</w:t>
      </w:r>
      <w:bookmarkEnd w:id="14"/>
    </w:p>
    <w:p w:rsidR="00725871" w:rsidRDefault="00972067">
      <w:pPr>
        <w:pStyle w:val="BodyA"/>
      </w:pPr>
      <w:r>
        <w:t>The economic sustainability of XXX’s business model is not referred to in the campaign or explicitly outlined anywhere so it is difficult to gage the number of employees and assess the in</w:t>
      </w:r>
      <w:r>
        <w:t>ternal operations of the company. Although, XXX offers a reward for supporting the campaign; a corporate period package for 2 months for 70 female employees (</w:t>
      </w:r>
      <w:proofErr w:type="spellStart"/>
      <w:r>
        <w:t>Crow</w:t>
      </w:r>
      <w:r>
        <w:t>d</w:t>
      </w:r>
      <w:r>
        <w:t>funder</w:t>
      </w:r>
      <w:proofErr w:type="spellEnd"/>
      <w:r>
        <w:t xml:space="preserve"> UK, </w:t>
      </w:r>
      <w:proofErr w:type="spellStart"/>
      <w:r>
        <w:t>n.d</w:t>
      </w:r>
      <w:proofErr w:type="spellEnd"/>
      <w:r>
        <w:t xml:space="preserve">). However, the campaign does not mention the benefits of this; </w:t>
      </w:r>
      <w:proofErr w:type="spellStart"/>
      <w:r>
        <w:t>Levett</w:t>
      </w:r>
      <w:proofErr w:type="spellEnd"/>
      <w:r>
        <w:t xml:space="preserve"> (1998) i</w:t>
      </w:r>
      <w:r>
        <w:t>nsists sustainable development is only achieved when all elements are integrated to work together. Therefore, XXX’s corporate subscription primarily offers environmentally friendly sanitary products aimed at companies to improve their social responsibility</w:t>
      </w:r>
      <w:r>
        <w:t xml:space="preserve"> and i</w:t>
      </w:r>
      <w:r>
        <w:t>n</w:t>
      </w:r>
      <w:r>
        <w:t xml:space="preserve">clusion, which it could be argued, inevitably increases business productivity by addressing the fundamental needs of staff. </w:t>
      </w:r>
    </w:p>
    <w:p w:rsidR="00725871" w:rsidRDefault="00725871">
      <w:pPr>
        <w:pStyle w:val="BodyA"/>
      </w:pPr>
    </w:p>
    <w:p w:rsidR="00725871" w:rsidRDefault="00725871">
      <w:pPr>
        <w:pStyle w:val="BodyA"/>
      </w:pPr>
    </w:p>
    <w:p w:rsidR="00725871" w:rsidRDefault="00725871">
      <w:pPr>
        <w:pStyle w:val="BodyA"/>
      </w:pPr>
    </w:p>
    <w:p w:rsidR="00725871" w:rsidRDefault="00725871">
      <w:pPr>
        <w:pStyle w:val="BodyA"/>
      </w:pPr>
    </w:p>
    <w:p w:rsidR="00725871" w:rsidRDefault="00725871">
      <w:pPr>
        <w:pStyle w:val="BodyA"/>
      </w:pPr>
    </w:p>
    <w:p w:rsidR="00725871" w:rsidRDefault="00725871">
      <w:pPr>
        <w:pStyle w:val="BodyA"/>
      </w:pPr>
    </w:p>
    <w:p w:rsidR="00725871" w:rsidRDefault="00725871">
      <w:pPr>
        <w:pStyle w:val="BodyA"/>
      </w:pPr>
    </w:p>
    <w:p w:rsidR="00725871" w:rsidRDefault="00725871">
      <w:pPr>
        <w:pStyle w:val="BodyA"/>
      </w:pPr>
    </w:p>
    <w:p w:rsidR="00725871" w:rsidRDefault="00972067">
      <w:pPr>
        <w:pStyle w:val="Heading"/>
        <w:keepNext w:val="0"/>
      </w:pPr>
      <w:bookmarkStart w:id="15" w:name="_Toc14"/>
      <w:r>
        <w:t>3.0 Sustainable Development Goals &amp; Recommendations</w:t>
      </w:r>
      <w:bookmarkEnd w:id="15"/>
    </w:p>
    <w:p w:rsidR="00725871" w:rsidRDefault="00972067">
      <w:pPr>
        <w:pStyle w:val="Heading2"/>
        <w:keepNext w:val="0"/>
      </w:pPr>
      <w:bookmarkStart w:id="16" w:name="_Toc15"/>
      <w:r>
        <w:rPr>
          <w:rStyle w:val="Hyperlink0"/>
        </w:rPr>
        <w:t xml:space="preserve">3.1 Introduction to Sustainable Development Goals </w:t>
      </w:r>
      <w:bookmarkEnd w:id="16"/>
    </w:p>
    <w:p w:rsidR="00725871" w:rsidRDefault="00972067">
      <w:pPr>
        <w:pStyle w:val="BodyA"/>
      </w:pPr>
      <w:r>
        <w:t xml:space="preserve">The United </w:t>
      </w:r>
      <w:r>
        <w:t>Nations Sustainable Development Goals were initiated for the purpose of gathering world leaders as a collective force towards successful growth alongside global sustainability. The 17 goals are a framework of 169 targets for countries to work towards achie</w:t>
      </w:r>
      <w:r>
        <w:t>ving by 2030 (United Nations [UN], 2015). The following section details two SDG’s and presents insightful recommendations for XXX to better achieve the goals.</w:t>
      </w:r>
    </w:p>
    <w:p w:rsidR="00725871" w:rsidRDefault="00725871">
      <w:pPr>
        <w:pStyle w:val="BodyA"/>
      </w:pPr>
    </w:p>
    <w:p w:rsidR="00725871" w:rsidRDefault="00972067">
      <w:pPr>
        <w:pStyle w:val="Heading2"/>
        <w:keepNext w:val="0"/>
      </w:pPr>
      <w:bookmarkStart w:id="17" w:name="_Toc16"/>
      <w:r>
        <w:rPr>
          <w:rStyle w:val="Hyperlink0"/>
        </w:rPr>
        <w:t>3.2 Good Health and Wellbeing</w:t>
      </w:r>
      <w:bookmarkEnd w:id="17"/>
    </w:p>
    <w:p w:rsidR="00725871" w:rsidRDefault="00972067">
      <w:pPr>
        <w:pStyle w:val="BodyA"/>
      </w:pPr>
      <w:r>
        <w:t xml:space="preserve">Good Health and Wellbeing is focused on universally improving the </w:t>
      </w:r>
      <w:r>
        <w:t xml:space="preserve">quality and access of healthcare. The goal describes incorporating healthcare, including sexual and reproductive health into educational national strategies (UN, </w:t>
      </w:r>
      <w:proofErr w:type="spellStart"/>
      <w:r>
        <w:t>n.d</w:t>
      </w:r>
      <w:proofErr w:type="spellEnd"/>
      <w:r>
        <w:t>). XXX strives to improve access to f</w:t>
      </w:r>
      <w:r>
        <w:t>e</w:t>
      </w:r>
      <w:r>
        <w:t xml:space="preserve">male healthcare by partnering with charities such as </w:t>
      </w:r>
      <w:r>
        <w:t xml:space="preserve">‘A Bloody Good Cause’ that </w:t>
      </w:r>
      <w:proofErr w:type="gramStart"/>
      <w:r>
        <w:t>deliver</w:t>
      </w:r>
      <w:proofErr w:type="gramEnd"/>
      <w:r>
        <w:t xml:space="preserve"> sanitary products to homeless and refugee shelters (XXX, 2018). </w:t>
      </w:r>
    </w:p>
    <w:p w:rsidR="00725871" w:rsidRDefault="00972067">
      <w:pPr>
        <w:pStyle w:val="BodyA"/>
      </w:pPr>
      <w:r>
        <w:t>Basic access and understanding of menstrual hygiene is hindered by a harrowing stigma, with reports showing 71% of girls are embarrassed to purchase sanitar</w:t>
      </w:r>
      <w:r>
        <w:t>y products (Plan International UK, 2017). This prevents open conversation and therefore education on fe</w:t>
      </w:r>
      <w:r>
        <w:t>m</w:t>
      </w:r>
      <w:r>
        <w:t>inine healthcare, especially for young girls entering puberty. This encourages a culture of taboo and can also lead to severe health impacts such as Tox</w:t>
      </w:r>
      <w:r>
        <w:t xml:space="preserve">ic Shock Syndrome (TSS) with many young girls unsure how to properly use sanitary </w:t>
      </w:r>
      <w:proofErr w:type="gramStart"/>
      <w:r>
        <w:t>products  (</w:t>
      </w:r>
      <w:proofErr w:type="spellStart"/>
      <w:proofErr w:type="gramEnd"/>
      <w:r>
        <w:t>Mosanya</w:t>
      </w:r>
      <w:proofErr w:type="spellEnd"/>
      <w:r>
        <w:t>, 2017).</w:t>
      </w:r>
    </w:p>
    <w:p w:rsidR="00725871" w:rsidRDefault="00972067">
      <w:pPr>
        <w:pStyle w:val="BodyA"/>
      </w:pPr>
      <w:r>
        <w:t>XXX declares itself as an ‘advocate’ towards social change, using its online platforms to encourage both genders to talk about periods and ensuring</w:t>
      </w:r>
      <w:r>
        <w:t xml:space="preserve"> safe products are available to use. Furthermore, challenging the corporate stage to take responsibility for their </w:t>
      </w:r>
      <w:proofErr w:type="gramStart"/>
      <w:r>
        <w:t>emplo</w:t>
      </w:r>
      <w:r>
        <w:t>y</w:t>
      </w:r>
      <w:r>
        <w:t>ees</w:t>
      </w:r>
      <w:proofErr w:type="gramEnd"/>
      <w:r>
        <w:t xml:space="preserve"> health, launching a petition in May 2018 with the #</w:t>
      </w:r>
      <w:proofErr w:type="spellStart"/>
      <w:r>
        <w:t>PeriodDramas</w:t>
      </w:r>
      <w:proofErr w:type="spellEnd"/>
      <w:r>
        <w:t xml:space="preserve"> campaign aimed at </w:t>
      </w:r>
      <w:proofErr w:type="spellStart"/>
      <w:r>
        <w:lastRenderedPageBreak/>
        <w:t>desensitising</w:t>
      </w:r>
      <w:proofErr w:type="spellEnd"/>
      <w:r>
        <w:t xml:space="preserve"> the subject and urging companies to</w:t>
      </w:r>
      <w:r>
        <w:t xml:space="preserve"> allocate a budget for sanitary products within the workplace, allowing female employees access to basic healthcare.</w:t>
      </w:r>
    </w:p>
    <w:p w:rsidR="00725871" w:rsidRDefault="00972067">
      <w:pPr>
        <w:pStyle w:val="HeadingRedA"/>
      </w:pPr>
      <w:bookmarkStart w:id="18" w:name="_Toc17"/>
      <w:r>
        <w:rPr>
          <w:rFonts w:eastAsia="Arial Unicode MS" w:cs="Arial Unicode MS"/>
        </w:rPr>
        <w:t>3.2.1 Recommendations</w:t>
      </w:r>
      <w:bookmarkEnd w:id="18"/>
    </w:p>
    <w:p w:rsidR="00725871" w:rsidRDefault="00972067">
      <w:pPr>
        <w:pStyle w:val="BodyA"/>
      </w:pPr>
      <w:r>
        <w:t xml:space="preserve">It is </w:t>
      </w:r>
      <w:proofErr w:type="gramStart"/>
      <w:r>
        <w:t>evident,</w:t>
      </w:r>
      <w:proofErr w:type="gramEnd"/>
      <w:r>
        <w:t xml:space="preserve"> a lack of education is a fundamental deterrent for basic feminine healthcare. People need to be comfor</w:t>
      </w:r>
      <w:r>
        <w:t>table discussing the subject for women to be able to understand and properly manage their basic bodily functions. Plan International (2017) stated 26% of girls were not aware of what to do when they started their period. As a result, it is reco</w:t>
      </w:r>
      <w:r>
        <w:t>m</w:t>
      </w:r>
      <w:r>
        <w:t xml:space="preserve">mended XXX </w:t>
      </w:r>
      <w:r>
        <w:t xml:space="preserve">instigate an educational </w:t>
      </w:r>
      <w:proofErr w:type="spellStart"/>
      <w:r>
        <w:t>programme</w:t>
      </w:r>
      <w:proofErr w:type="spellEnd"/>
      <w:r>
        <w:t xml:space="preserve">, aligning the company with </w:t>
      </w:r>
      <w:proofErr w:type="gramStart"/>
      <w:r>
        <w:t>a  mov</w:t>
      </w:r>
      <w:r>
        <w:t>e</w:t>
      </w:r>
      <w:r>
        <w:t>ment</w:t>
      </w:r>
      <w:proofErr w:type="gramEnd"/>
      <w:r>
        <w:t xml:space="preserve"> towards compulsory menstruation education within schools. Partnering with local schools to educate boys and girls on the “biology, social and practical matters” of me</w:t>
      </w:r>
      <w:r>
        <w:t>n</w:t>
      </w:r>
      <w:r>
        <w:t>struation, will</w:t>
      </w:r>
      <w:r>
        <w:t xml:space="preserve"> not only educate but </w:t>
      </w:r>
      <w:proofErr w:type="spellStart"/>
      <w:r>
        <w:t>normalise</w:t>
      </w:r>
      <w:proofErr w:type="spellEnd"/>
      <w:r>
        <w:t xml:space="preserve"> the subject from a young age, encouraging a more open conversation (Plan International, 2018, p.52). Crane and Matten (2016, p. 466) highlight a cause—related marketing campaign would be beneficial to amplify XXX’s i</w:t>
      </w:r>
      <w:r>
        <w:t>n</w:t>
      </w:r>
      <w:r>
        <w:t>volveme</w:t>
      </w:r>
      <w:r>
        <w:t xml:space="preserve">nt towards “building social capital” in local communities and also strengthen the company reputation. Betty </w:t>
      </w:r>
      <w:proofErr w:type="gramStart"/>
      <w:r>
        <w:t>For</w:t>
      </w:r>
      <w:proofErr w:type="gramEnd"/>
      <w:r>
        <w:t xml:space="preserve"> Schools (undated) is a good example of resources aimed at PHSE teachers that could guide XXX’s educational lessons.</w:t>
      </w:r>
      <w:r>
        <w:rPr>
          <w:noProof/>
          <w:lang w:val="en-GB"/>
        </w:rPr>
        <mc:AlternateContent>
          <mc:Choice Requires="wps">
            <w:drawing>
              <wp:anchor distT="0" distB="0" distL="0" distR="0" simplePos="0" relativeHeight="251670528" behindDoc="0" locked="0" layoutInCell="1" allowOverlap="1">
                <wp:simplePos x="0" y="0"/>
                <wp:positionH relativeFrom="page">
                  <wp:posOffset>-28034</wp:posOffset>
                </wp:positionH>
                <wp:positionV relativeFrom="line">
                  <wp:posOffset>488238</wp:posOffset>
                </wp:positionV>
                <wp:extent cx="4666147" cy="324797"/>
                <wp:effectExtent l="0" t="0" r="0" b="0"/>
                <wp:wrapNone/>
                <wp:docPr id="1073741852" name="officeArt object" descr="officeArt object"/>
                <wp:cNvGraphicFramePr/>
                <a:graphic xmlns:a="http://schemas.openxmlformats.org/drawingml/2006/main">
                  <a:graphicData uri="http://schemas.microsoft.com/office/word/2010/wordprocessingShape">
                    <wps:wsp>
                      <wps:cNvSpPr txBox="1"/>
                      <wps:spPr>
                        <a:xfrm>
                          <a:off x="0" y="0"/>
                          <a:ext cx="4666147" cy="324797"/>
                        </a:xfrm>
                        <a:prstGeom prst="rect">
                          <a:avLst/>
                        </a:prstGeom>
                        <a:noFill/>
                        <a:ln w="12700" cap="flat">
                          <a:noFill/>
                          <a:miter lim="400000"/>
                        </a:ln>
                        <a:effectLst/>
                      </wps:spPr>
                      <wps:txbx>
                        <w:txbxContent>
                          <w:p w:rsidR="00725871" w:rsidRDefault="00972067">
                            <w:pPr>
                              <w:pStyle w:val="BodyA"/>
                              <w:jc w:val="center"/>
                            </w:pPr>
                            <w:r>
                              <w:rPr>
                                <w:b/>
                                <w:bCs/>
                                <w:i/>
                                <w:iCs/>
                                <w:sz w:val="28"/>
                                <w:szCs w:val="28"/>
                              </w:rPr>
                              <w:t>FIGURE 7 - XXX’s ‘Period M</w:t>
                            </w:r>
                            <w:r>
                              <w:rPr>
                                <w:b/>
                                <w:bCs/>
                                <w:i/>
                                <w:iCs/>
                                <w:sz w:val="28"/>
                                <w:szCs w:val="28"/>
                              </w:rPr>
                              <w:t>anifesto’</w:t>
                            </w:r>
                          </w:p>
                        </w:txbxContent>
                      </wps:txbx>
                      <wps:bodyPr wrap="square" lIns="50800" tIns="50800" rIns="50800" bIns="50800" numCol="1" anchor="t">
                        <a:noAutofit/>
                      </wps:bodyPr>
                    </wps:wsp>
                  </a:graphicData>
                </a:graphic>
              </wp:anchor>
            </w:drawing>
          </mc:Choice>
          <mc:Fallback>
            <w:pict>
              <v:shape id="_x0000_s1052" type="#_x0000_t202" style="visibility:visible;position:absolute;margin-left:-2.2pt;margin-top:38.4pt;width:367.4pt;height:25.6pt;z-index:25167052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b w:val="1"/>
                          <w:bCs w:val="1"/>
                          <w:i w:val="1"/>
                          <w:iCs w:val="1"/>
                          <w:sz w:val="28"/>
                          <w:szCs w:val="28"/>
                          <w:rtl w:val="0"/>
                          <w:lang w:val="en-US"/>
                        </w:rPr>
                        <w:t>FIGURE 7 - XXX</w:t>
                      </w:r>
                      <w:r>
                        <w:rPr>
                          <w:b w:val="1"/>
                          <w:bCs w:val="1"/>
                          <w:i w:val="1"/>
                          <w:iCs w:val="1"/>
                          <w:sz w:val="28"/>
                          <w:szCs w:val="28"/>
                          <w:rtl w:val="0"/>
                          <w:lang w:val="en-US"/>
                        </w:rPr>
                        <w:t>’</w:t>
                      </w:r>
                      <w:r>
                        <w:rPr>
                          <w:b w:val="1"/>
                          <w:bCs w:val="1"/>
                          <w:i w:val="1"/>
                          <w:iCs w:val="1"/>
                          <w:sz w:val="28"/>
                          <w:szCs w:val="28"/>
                          <w:rtl w:val="0"/>
                          <w:lang w:val="en-US"/>
                        </w:rPr>
                        <w:t xml:space="preserve">s </w:t>
                      </w:r>
                      <w:r>
                        <w:rPr>
                          <w:b w:val="1"/>
                          <w:bCs w:val="1"/>
                          <w:i w:val="1"/>
                          <w:iCs w:val="1"/>
                          <w:sz w:val="28"/>
                          <w:szCs w:val="28"/>
                          <w:rtl w:val="0"/>
                          <w:lang w:val="en-US"/>
                        </w:rPr>
                        <w:t>‘</w:t>
                      </w:r>
                      <w:r>
                        <w:rPr>
                          <w:b w:val="1"/>
                          <w:bCs w:val="1"/>
                          <w:i w:val="1"/>
                          <w:iCs w:val="1"/>
                          <w:sz w:val="28"/>
                          <w:szCs w:val="28"/>
                          <w:rtl w:val="0"/>
                          <w:lang w:val="en-US"/>
                        </w:rPr>
                        <w:t>Period Manifesto</w:t>
                      </w:r>
                      <w:r>
                        <w:rPr>
                          <w:b w:val="1"/>
                          <w:bCs w:val="1"/>
                          <w:i w:val="1"/>
                          <w:iCs w:val="1"/>
                          <w:sz w:val="28"/>
                          <w:szCs w:val="28"/>
                          <w:rtl w:val="0"/>
                          <w:lang w:val="en-US"/>
                        </w:rPr>
                        <w:t>’</w:t>
                      </w:r>
                    </w:p>
                  </w:txbxContent>
                </v:textbox>
                <w10:wrap type="none" side="bothSides" anchorx="page"/>
              </v:shape>
            </w:pict>
          </mc:Fallback>
        </mc:AlternateContent>
      </w:r>
    </w:p>
    <w:p w:rsidR="00725871" w:rsidRDefault="00725871">
      <w:pPr>
        <w:pStyle w:val="BodyA"/>
      </w:pPr>
    </w:p>
    <w:p w:rsidR="00725871" w:rsidRDefault="00725871">
      <w:pPr>
        <w:pStyle w:val="BodyA"/>
      </w:pPr>
    </w:p>
    <w:p w:rsidR="00725871" w:rsidRDefault="00972067">
      <w:pPr>
        <w:pStyle w:val="Heading2"/>
        <w:keepNext w:val="0"/>
      </w:pPr>
      <w:bookmarkStart w:id="19" w:name="_Toc18"/>
      <w:r>
        <w:rPr>
          <w:rStyle w:val="Hyperlink0"/>
        </w:rPr>
        <w:t>3.3 Responsible Consumption and Production</w:t>
      </w:r>
      <w:bookmarkEnd w:id="19"/>
    </w:p>
    <w:p w:rsidR="00725871" w:rsidRDefault="00972067">
      <w:pPr>
        <w:pStyle w:val="BodyA"/>
      </w:pPr>
      <w:r>
        <w:t xml:space="preserve">The goal of Responsible Consumption and Production concentrates on complete supply chain </w:t>
      </w:r>
      <w:proofErr w:type="gramStart"/>
      <w:r>
        <w:t>efficiency,</w:t>
      </w:r>
      <w:proofErr w:type="gramEnd"/>
      <w:r>
        <w:t xml:space="preserve"> this can be achieved through manufacturing processes and consumer education of sustainable </w:t>
      </w:r>
      <w:proofErr w:type="spellStart"/>
      <w:r>
        <w:t>behaviou</w:t>
      </w:r>
      <w:r>
        <w:t>r</w:t>
      </w:r>
      <w:proofErr w:type="spellEnd"/>
      <w:r>
        <w:t xml:space="preserve"> (UN, undated). XXX’s business model reaches nume</w:t>
      </w:r>
      <w:r>
        <w:t>r</w:t>
      </w:r>
      <w:r>
        <w:t>ous targets of this goal; their ‘Period Manifesto,' shown in Figure 7, sets out the business purpose to encompass sustainable practices in manufacturing and the final product. Fu</w:t>
      </w:r>
      <w:r>
        <w:t>r</w:t>
      </w:r>
      <w:r>
        <w:t>thermore, using their soci</w:t>
      </w:r>
      <w:r>
        <w:t>al platforms to promote awareness of period poverty and assoc</w:t>
      </w:r>
      <w:r>
        <w:t>i</w:t>
      </w:r>
      <w:r>
        <w:t xml:space="preserve">ated </w:t>
      </w:r>
      <w:proofErr w:type="gramStart"/>
      <w:r>
        <w:t>stigmas,</w:t>
      </w:r>
      <w:proofErr w:type="gramEnd"/>
      <w:r>
        <w:t xml:space="preserve"> stimulates progression towards socially conscious consumer </w:t>
      </w:r>
      <w:proofErr w:type="spellStart"/>
      <w:r>
        <w:t>behaviour</w:t>
      </w:r>
      <w:proofErr w:type="spellEnd"/>
      <w:r>
        <w:t>.</w:t>
      </w:r>
    </w:p>
    <w:p w:rsidR="00725871" w:rsidRDefault="00972067">
      <w:pPr>
        <w:pStyle w:val="BodyA"/>
      </w:pPr>
      <w:r>
        <w:rPr>
          <w:rStyle w:val="Hyperlink0"/>
        </w:rPr>
        <w:lastRenderedPageBreak/>
        <w:t>Sustainable procurement is another aspect of this SDG, XXX’s adherence to the Nordic Swan ‘Eco-label’ promotes</w:t>
      </w:r>
      <w:r>
        <w:rPr>
          <w:rStyle w:val="Hyperlink0"/>
        </w:rPr>
        <w:t xml:space="preserve"> Green Public Procurement (Nordic Ecolabelling, </w:t>
      </w:r>
      <w:proofErr w:type="spellStart"/>
      <w:r>
        <w:rPr>
          <w:rStyle w:val="Hyperlink0"/>
        </w:rPr>
        <w:t>n.d</w:t>
      </w:r>
      <w:proofErr w:type="spellEnd"/>
      <w:r>
        <w:rPr>
          <w:rStyle w:val="Hyperlink0"/>
        </w:rPr>
        <w:t>). This i</w:t>
      </w:r>
      <w:r>
        <w:rPr>
          <w:rStyle w:val="Hyperlink0"/>
        </w:rPr>
        <w:t>n</w:t>
      </w:r>
      <w:r>
        <w:rPr>
          <w:rStyle w:val="Hyperlink0"/>
        </w:rPr>
        <w:t xml:space="preserve">volves authorities seeking environmentally sustainable goods and services for public use, these goods can be identified through </w:t>
      </w:r>
      <w:r>
        <w:rPr>
          <w:lang w:val="nl-NL"/>
        </w:rPr>
        <w:t>Eco</w:t>
      </w:r>
      <w:r>
        <w:rPr>
          <w:rStyle w:val="Hyperlink0"/>
        </w:rPr>
        <w:t xml:space="preserve">-labels that meet </w:t>
      </w:r>
      <w:proofErr w:type="gramStart"/>
      <w:r>
        <w:rPr>
          <w:rStyle w:val="Hyperlink0"/>
        </w:rPr>
        <w:t>a specific sustainability criteria</w:t>
      </w:r>
      <w:proofErr w:type="gramEnd"/>
      <w:r>
        <w:rPr>
          <w:rStyle w:val="Hyperlink0"/>
        </w:rPr>
        <w:t>, as discuss</w:t>
      </w:r>
      <w:r>
        <w:rPr>
          <w:rStyle w:val="Hyperlink0"/>
        </w:rPr>
        <w:t>ed in 2.2.2.</w:t>
      </w:r>
    </w:p>
    <w:p w:rsidR="00725871" w:rsidRDefault="00725871">
      <w:pPr>
        <w:pStyle w:val="BodyA"/>
      </w:pPr>
    </w:p>
    <w:p w:rsidR="00725871" w:rsidRDefault="00972067">
      <w:pPr>
        <w:pStyle w:val="HeadingRedA"/>
      </w:pPr>
      <w:bookmarkStart w:id="20" w:name="_Toc19"/>
      <w:r>
        <w:rPr>
          <w:rFonts w:eastAsia="Arial Unicode MS" w:cs="Arial Unicode MS"/>
        </w:rPr>
        <w:t>3.3.1 Recommendations</w:t>
      </w:r>
      <w:bookmarkEnd w:id="20"/>
    </w:p>
    <w:p w:rsidR="00725871" w:rsidRDefault="00972067">
      <w:pPr>
        <w:pStyle w:val="BodyA"/>
      </w:pPr>
      <w:r>
        <w:t>A suitable recommendation to improve XXX’s Responsible Consumption and Production is to extend their product line to offer reusable sanitary products. As a result, this would e</w:t>
      </w:r>
      <w:r>
        <w:t>x</w:t>
      </w:r>
      <w:r>
        <w:t xml:space="preserve">tend their product life cycle and delay an </w:t>
      </w:r>
      <w:r>
        <w:t>immediate disposal system. In 2017, sewage r</w:t>
      </w:r>
      <w:r>
        <w:t>e</w:t>
      </w:r>
      <w:r>
        <w:t xml:space="preserve">lated debris, including disposable sanitary and complimentary products accounted for 8.5% of </w:t>
      </w:r>
      <w:proofErr w:type="spellStart"/>
      <w:r>
        <w:t>Britains</w:t>
      </w:r>
      <w:proofErr w:type="spellEnd"/>
      <w:r>
        <w:t xml:space="preserve"> beach litter (Marine Conservation Society, 2017), </w:t>
      </w:r>
      <w:proofErr w:type="gramStart"/>
      <w:r>
        <w:t>reusable</w:t>
      </w:r>
      <w:proofErr w:type="gramEnd"/>
      <w:r>
        <w:t xml:space="preserve"> products co</w:t>
      </w:r>
      <w:r>
        <w:t>n</w:t>
      </w:r>
      <w:r>
        <w:t xml:space="preserve">tribute significantly less waste. The </w:t>
      </w:r>
      <w:r>
        <w:t xml:space="preserve">economic </w:t>
      </w:r>
      <w:proofErr w:type="gramStart"/>
      <w:r>
        <w:t>benefits, as the user gets several wears, achieves</w:t>
      </w:r>
      <w:proofErr w:type="gramEnd"/>
      <w:r>
        <w:t xml:space="preserve"> better value for money than disposable products. XXX are one example of reu</w:t>
      </w:r>
      <w:r>
        <w:t>s</w:t>
      </w:r>
      <w:r>
        <w:t>able cloth products that offer various benefits above disposable sanitary towels, champio</w:t>
      </w:r>
      <w:r>
        <w:t>n</w:t>
      </w:r>
      <w:r>
        <w:t>ing a sustainable production a</w:t>
      </w:r>
      <w:r>
        <w:t>nd consumption in the industry (XXX, 2018).</w:t>
      </w:r>
    </w:p>
    <w:p w:rsidR="00725871" w:rsidRDefault="00972067">
      <w:pPr>
        <w:pStyle w:val="BodyA"/>
      </w:pPr>
      <w:r>
        <w:t>It can be expected a change to reusable products will be met with some resistance from consumers due to the overarching cultural taboo causing many women to feel awkward discussing menstruation and therefore unaw</w:t>
      </w:r>
      <w:r>
        <w:t>are of sustainable alternatives to conventional brands. Therefore, it is also recommended XXX improve the environmental responsibility of their existing applicator tampon range by switching to cardboard applicators. This would eradicate the need for plasti</w:t>
      </w:r>
      <w:r>
        <w:t>cs in their tampons and ensure they are completely biod</w:t>
      </w:r>
      <w:r>
        <w:t>e</w:t>
      </w:r>
      <w:r>
        <w:t>gradable, Appendix 4 examples XXX’s approach to cardboard applicators.</w:t>
      </w:r>
    </w:p>
    <w:p w:rsidR="00725871" w:rsidRDefault="00725871">
      <w:pPr>
        <w:pStyle w:val="BodyA"/>
      </w:pPr>
    </w:p>
    <w:p w:rsidR="00725871" w:rsidRDefault="00972067">
      <w:pPr>
        <w:pStyle w:val="Heading"/>
      </w:pPr>
      <w:bookmarkStart w:id="21" w:name="_Toc20"/>
      <w:r>
        <w:rPr>
          <w:rFonts w:eastAsia="Arial Unicode MS" w:cs="Arial Unicode MS"/>
        </w:rPr>
        <w:lastRenderedPageBreak/>
        <w:t>4.0 Conclusions</w:t>
      </w:r>
      <w:bookmarkEnd w:id="21"/>
    </w:p>
    <w:p w:rsidR="00725871" w:rsidRDefault="00972067">
      <w:pPr>
        <w:pStyle w:val="BodyA"/>
      </w:pPr>
      <w:r>
        <w:t xml:space="preserve">In conclusion, this report has </w:t>
      </w:r>
      <w:proofErr w:type="spellStart"/>
      <w:r>
        <w:t>analysed</w:t>
      </w:r>
      <w:proofErr w:type="spellEnd"/>
      <w:r>
        <w:t xml:space="preserve"> the sustainability of XXX’s business practices. It is </w:t>
      </w:r>
      <w:proofErr w:type="gramStart"/>
      <w:r>
        <w:t>evident,</w:t>
      </w:r>
      <w:proofErr w:type="gramEnd"/>
      <w:r>
        <w:t xml:space="preserve"> a strong </w:t>
      </w:r>
      <w:r>
        <w:t xml:space="preserve">sense of social purpose exists within the company to improve access to sanitary protection. The brand remains focused on creating a community by supporting charitable </w:t>
      </w:r>
      <w:proofErr w:type="spellStart"/>
      <w:r>
        <w:t>organisations</w:t>
      </w:r>
      <w:proofErr w:type="spellEnd"/>
      <w:r>
        <w:t xml:space="preserve"> and adopting consumer centric manufacturing processes that places consumer </w:t>
      </w:r>
      <w:r>
        <w:t xml:space="preserve">health and wellbeing at the forefront of its value proposition. </w:t>
      </w:r>
    </w:p>
    <w:p w:rsidR="00725871" w:rsidRDefault="00972067">
      <w:pPr>
        <w:pStyle w:val="BodyA"/>
      </w:pPr>
      <w:r>
        <w:t>The industry analysis revealed elements of greenwashing, largely amongst the main ma</w:t>
      </w:r>
      <w:r>
        <w:t>r</w:t>
      </w:r>
      <w:r>
        <w:t>ket leaders. Through the perspective of CSV (Porter &amp; Kramer, 2011) a demand for inn</w:t>
      </w:r>
      <w:r>
        <w:t>o</w:t>
      </w:r>
      <w:r>
        <w:t>vation within convent</w:t>
      </w:r>
      <w:r>
        <w:t xml:space="preserve">ional sanitary products was highly sought after to satisfy the rise in conscious consumer </w:t>
      </w:r>
      <w:proofErr w:type="spellStart"/>
      <w:r>
        <w:t>behaviour</w:t>
      </w:r>
      <w:proofErr w:type="spellEnd"/>
      <w:r>
        <w:t>.</w:t>
      </w:r>
    </w:p>
    <w:p w:rsidR="00725871" w:rsidRDefault="00972067">
      <w:pPr>
        <w:pStyle w:val="BodyA"/>
      </w:pPr>
      <w:r>
        <w:t xml:space="preserve">Through the lens of Good Health and Wellbeing, education was shown as a universal driver towards sustainable consumer </w:t>
      </w:r>
      <w:proofErr w:type="spellStart"/>
      <w:r>
        <w:t>behaviour</w:t>
      </w:r>
      <w:proofErr w:type="spellEnd"/>
      <w:r>
        <w:t>, whereby XXX can adopt a ca</w:t>
      </w:r>
      <w:r>
        <w:t>use - related marketing strategy to simultaneously satisfy societal needs and achieve business profit</w:t>
      </w:r>
      <w:r>
        <w:t>a</w:t>
      </w:r>
      <w:r>
        <w:t xml:space="preserve">bility, as Porter and Kramer refer to in CSV (2011).  Likewise, XXX must innovate within their existing products to improve their Responsible Consumption </w:t>
      </w:r>
      <w:r>
        <w:t>and Production packa</w:t>
      </w:r>
      <w:r>
        <w:t>g</w:t>
      </w:r>
      <w:r>
        <w:t>es to offer cardboard applicator tampons, lowering their contribution to the plastic waste crisis. Re-usable products must also be offered as a viable alternative to traditional di</w:t>
      </w:r>
      <w:r>
        <w:t>s</w:t>
      </w:r>
      <w:r>
        <w:t>posable sanitary pads and tampons.</w:t>
      </w:r>
    </w:p>
    <w:p w:rsidR="00725871" w:rsidRDefault="00972067">
      <w:pPr>
        <w:pStyle w:val="BodyA"/>
      </w:pPr>
      <w:r>
        <w:t>Furthermore, sustai</w:t>
      </w:r>
      <w:r>
        <w:t>nability remains a highly subjective process, for XXX to improve their practices in these areas it must be understood that sustainability within the sanitary pro</w:t>
      </w:r>
      <w:r>
        <w:t>d</w:t>
      </w:r>
      <w:r>
        <w:t xml:space="preserve">uct sector is not reliant on the individual products. Whereas, a holistic </w:t>
      </w:r>
      <w:proofErr w:type="gramStart"/>
      <w:r>
        <w:t>approach</w:t>
      </w:r>
      <w:proofErr w:type="gramEnd"/>
      <w:r>
        <w:t xml:space="preserve"> enco</w:t>
      </w:r>
      <w:r>
        <w:t>m</w:t>
      </w:r>
      <w:r>
        <w:t>passin</w:t>
      </w:r>
      <w:r>
        <w:t>g social attitudes, environmental concerns and economic impact of sanitary prote</w:t>
      </w:r>
      <w:r>
        <w:t>c</w:t>
      </w:r>
      <w:r>
        <w:t>tion must address the needs of individual consumers and the wider society.</w:t>
      </w:r>
    </w:p>
    <w:p w:rsidR="00725871" w:rsidRDefault="00972067">
      <w:pPr>
        <w:pStyle w:val="BodyA"/>
      </w:pPr>
      <w:r>
        <w:rPr>
          <w:rFonts w:ascii="Arial Unicode MS" w:hAnsi="Arial Unicode MS"/>
        </w:rPr>
        <w:br w:type="page"/>
      </w:r>
    </w:p>
    <w:p w:rsidR="00725871" w:rsidRDefault="00972067">
      <w:pPr>
        <w:pStyle w:val="BodyA"/>
      </w:pPr>
      <w:r>
        <w:rPr>
          <w:rFonts w:ascii="Arial Unicode MS" w:hAnsi="Arial Unicode MS"/>
        </w:rPr>
        <w:lastRenderedPageBreak/>
        <w:br w:type="page"/>
      </w:r>
    </w:p>
    <w:p w:rsidR="00725871" w:rsidRDefault="00725871">
      <w:pPr>
        <w:pStyle w:val="BodyA"/>
      </w:pPr>
    </w:p>
    <w:p w:rsidR="00725871" w:rsidRDefault="00972067">
      <w:pPr>
        <w:pStyle w:val="Heading"/>
      </w:pPr>
      <w:bookmarkStart w:id="22" w:name="_Toc21"/>
      <w:r>
        <w:rPr>
          <w:rFonts w:eastAsia="Arial Unicode MS" w:cs="Arial Unicode MS"/>
        </w:rPr>
        <w:t>5.0 References</w:t>
      </w:r>
      <w:bookmarkEnd w:id="22"/>
    </w:p>
    <w:p w:rsidR="00725871" w:rsidRDefault="00972067">
      <w:pPr>
        <w:pStyle w:val="BodyA"/>
        <w:spacing w:line="240" w:lineRule="auto"/>
      </w:pPr>
      <w:r>
        <w:rPr>
          <w:rStyle w:val="Hyperlink0"/>
        </w:rPr>
        <w:t>XXX. (</w:t>
      </w:r>
      <w:proofErr w:type="spellStart"/>
      <w:r>
        <w:rPr>
          <w:rStyle w:val="Hyperlink0"/>
        </w:rPr>
        <w:t>n.d.</w:t>
      </w:r>
      <w:proofErr w:type="spellEnd"/>
      <w:r>
        <w:rPr>
          <w:rStyle w:val="Hyperlink0"/>
        </w:rPr>
        <w:t xml:space="preserve">). </w:t>
      </w:r>
      <w:r>
        <w:rPr>
          <w:i/>
          <w:iCs/>
        </w:rPr>
        <w:t>What We do</w:t>
      </w:r>
      <w:r>
        <w:rPr>
          <w:lang w:val="pt-PT"/>
        </w:rPr>
        <w:t xml:space="preserve">. [online] </w:t>
      </w:r>
      <w:r>
        <w:rPr>
          <w:rStyle w:val="Hyperlink0"/>
        </w:rPr>
        <w:t>Retrieved from: https://www.XXX.com/what-we-do</w:t>
      </w:r>
      <w:r>
        <w:rPr>
          <w:rStyle w:val="Hyperlink0"/>
        </w:rPr>
        <w:t>/ [A</w:t>
      </w:r>
      <w:r>
        <w:rPr>
          <w:rStyle w:val="Hyperlink0"/>
        </w:rPr>
        <w:t>c</w:t>
      </w:r>
      <w:r>
        <w:rPr>
          <w:rStyle w:val="Hyperlink0"/>
        </w:rPr>
        <w:t>cessed 2 Dec. 2018].</w:t>
      </w:r>
    </w:p>
    <w:p w:rsidR="00725871" w:rsidRDefault="00725871">
      <w:pPr>
        <w:pStyle w:val="BodyA"/>
        <w:spacing w:line="240" w:lineRule="auto"/>
      </w:pPr>
    </w:p>
    <w:p w:rsidR="00725871" w:rsidRDefault="00972067">
      <w:pPr>
        <w:pStyle w:val="BodyA"/>
        <w:spacing w:line="240" w:lineRule="auto"/>
      </w:pPr>
      <w:proofErr w:type="spellStart"/>
      <w:proofErr w:type="gramStart"/>
      <w:r>
        <w:rPr>
          <w:rStyle w:val="Hyperlink0"/>
        </w:rPr>
        <w:t>Ahpma</w:t>
      </w:r>
      <w:proofErr w:type="spellEnd"/>
      <w:r>
        <w:rPr>
          <w:rStyle w:val="Hyperlink0"/>
        </w:rPr>
        <w:t>.</w:t>
      </w:r>
      <w:proofErr w:type="gramEnd"/>
      <w:r>
        <w:rPr>
          <w:rStyle w:val="Hyperlink0"/>
        </w:rPr>
        <w:t xml:space="preserve"> </w:t>
      </w:r>
      <w:proofErr w:type="gramStart"/>
      <w:r>
        <w:rPr>
          <w:rStyle w:val="Hyperlink0"/>
        </w:rPr>
        <w:t xml:space="preserve">(2007). </w:t>
      </w:r>
      <w:r>
        <w:rPr>
          <w:i/>
          <w:iCs/>
        </w:rPr>
        <w:t xml:space="preserve">Menstruation and </w:t>
      </w:r>
      <w:proofErr w:type="spellStart"/>
      <w:r>
        <w:rPr>
          <w:i/>
          <w:iCs/>
        </w:rPr>
        <w:t>Sanpro</w:t>
      </w:r>
      <w:proofErr w:type="spellEnd"/>
      <w:r>
        <w:rPr>
          <w:i/>
          <w:iCs/>
        </w:rPr>
        <w:t>/</w:t>
      </w:r>
      <w:proofErr w:type="spellStart"/>
      <w:r>
        <w:rPr>
          <w:i/>
          <w:iCs/>
        </w:rPr>
        <w:t>Femcare</w:t>
      </w:r>
      <w:proofErr w:type="spellEnd"/>
      <w:r>
        <w:rPr>
          <w:i/>
          <w:iCs/>
        </w:rPr>
        <w:t xml:space="preserve"> Market Facts and Fig’s</w:t>
      </w:r>
      <w:r>
        <w:rPr>
          <w:lang w:val="pt-PT"/>
        </w:rPr>
        <w:t>.</w:t>
      </w:r>
      <w:proofErr w:type="gramEnd"/>
      <w:r>
        <w:rPr>
          <w:lang w:val="pt-PT"/>
        </w:rPr>
        <w:t xml:space="preserve"> [online] </w:t>
      </w:r>
      <w:r>
        <w:rPr>
          <w:rStyle w:val="Hyperlink0"/>
        </w:rPr>
        <w:t>R</w:t>
      </w:r>
      <w:r>
        <w:rPr>
          <w:rStyle w:val="Hyperlink0"/>
        </w:rPr>
        <w:t>e</w:t>
      </w:r>
      <w:r>
        <w:rPr>
          <w:rStyle w:val="Hyperlink0"/>
        </w:rPr>
        <w:t>trieved from: http://www.ahpma.co.uk/docs/Menstruation%20Facts%20and%20Figs.pdf [Accessed 10 Dec. 2018].</w:t>
      </w:r>
    </w:p>
    <w:p w:rsidR="00725871" w:rsidRDefault="00725871">
      <w:pPr>
        <w:pStyle w:val="BodyA"/>
        <w:spacing w:line="240" w:lineRule="auto"/>
      </w:pPr>
    </w:p>
    <w:p w:rsidR="00725871" w:rsidRDefault="00972067">
      <w:pPr>
        <w:pStyle w:val="BodyA"/>
        <w:spacing w:line="240" w:lineRule="auto"/>
      </w:pPr>
      <w:r>
        <w:rPr>
          <w:rStyle w:val="Hyperlink0"/>
        </w:rPr>
        <w:t>XXX. (2018). Did you know that some girls</w:t>
      </w:r>
      <w:r>
        <w:rPr>
          <w:rStyle w:val="Hyperlink0"/>
        </w:rPr>
        <w:t xml:space="preserve"> don't have access to sanitary protection? That’s why we want to #</w:t>
      </w:r>
      <w:proofErr w:type="spellStart"/>
      <w:r>
        <w:rPr>
          <w:rStyle w:val="Hyperlink0"/>
        </w:rPr>
        <w:t>EndPeriodPoverty</w:t>
      </w:r>
      <w:proofErr w:type="spellEnd"/>
      <w:r>
        <w:rPr>
          <w:rStyle w:val="Hyperlink0"/>
        </w:rPr>
        <w:t xml:space="preserve"> and provide them with free sanitary pads</w:t>
      </w:r>
      <w:proofErr w:type="gramStart"/>
      <w:r>
        <w:rPr>
          <w:rStyle w:val="Hyperlink0"/>
        </w:rPr>
        <w:t>!</w:t>
      </w:r>
      <w:r>
        <w:rPr>
          <w:lang w:val="pt-PT"/>
        </w:rPr>
        <w:t>.</w:t>
      </w:r>
      <w:proofErr w:type="gramEnd"/>
      <w:r>
        <w:rPr>
          <w:lang w:val="pt-PT"/>
        </w:rPr>
        <w:t xml:space="preserve"> [online] </w:t>
      </w:r>
      <w:r>
        <w:rPr>
          <w:rStyle w:val="Hyperlink0"/>
        </w:rPr>
        <w:t>Retrieved from: https://www.XXX.co.uk/en-gb/about-us/endperiodpoverty [A</w:t>
      </w:r>
      <w:r>
        <w:rPr>
          <w:rStyle w:val="Hyperlink0"/>
        </w:rPr>
        <w:t>c</w:t>
      </w:r>
      <w:r>
        <w:rPr>
          <w:rStyle w:val="Hyperlink0"/>
        </w:rPr>
        <w:t>cessed 28 Nov. 2018].</w:t>
      </w:r>
    </w:p>
    <w:p w:rsidR="00725871" w:rsidRDefault="00725871">
      <w:pPr>
        <w:pStyle w:val="BodyA"/>
        <w:spacing w:line="240" w:lineRule="auto"/>
      </w:pPr>
    </w:p>
    <w:p w:rsidR="00725871" w:rsidRDefault="00972067">
      <w:pPr>
        <w:pStyle w:val="BodyA"/>
        <w:spacing w:line="240" w:lineRule="auto"/>
      </w:pPr>
      <w:proofErr w:type="gramStart"/>
      <w:r>
        <w:rPr>
          <w:rStyle w:val="Hyperlink0"/>
        </w:rPr>
        <w:t>XXX (</w:t>
      </w:r>
      <w:proofErr w:type="spellStart"/>
      <w:r>
        <w:rPr>
          <w:rStyle w:val="Hyperlink0"/>
        </w:rPr>
        <w:t>n.d.</w:t>
      </w:r>
      <w:proofErr w:type="spellEnd"/>
      <w:r>
        <w:rPr>
          <w:rStyle w:val="Hyperlink0"/>
        </w:rPr>
        <w:t>).</w:t>
      </w:r>
      <w:proofErr w:type="gramEnd"/>
      <w:r>
        <w:rPr>
          <w:rStyle w:val="Hyperlink0"/>
        </w:rPr>
        <w:t xml:space="preserve"> </w:t>
      </w:r>
      <w:proofErr w:type="gramStart"/>
      <w:r>
        <w:rPr>
          <w:i/>
          <w:iCs/>
        </w:rPr>
        <w:t>About Us</w:t>
      </w:r>
      <w:r>
        <w:rPr>
          <w:lang w:val="pt-PT"/>
        </w:rPr>
        <w:t>.</w:t>
      </w:r>
      <w:proofErr w:type="gramEnd"/>
      <w:r>
        <w:rPr>
          <w:lang w:val="pt-PT"/>
        </w:rPr>
        <w:t xml:space="preserve"> [on</w:t>
      </w:r>
      <w:r>
        <w:rPr>
          <w:lang w:val="pt-PT"/>
        </w:rPr>
        <w:t xml:space="preserve">line] </w:t>
      </w:r>
      <w:r>
        <w:rPr>
          <w:rStyle w:val="Hyperlink0"/>
        </w:rPr>
        <w:t>Retrieved from: https://XXX/about-us [Accessed 12 Dec. 2018].</w:t>
      </w:r>
    </w:p>
    <w:p w:rsidR="00725871" w:rsidRDefault="00725871">
      <w:pPr>
        <w:pStyle w:val="BodyA"/>
        <w:spacing w:line="240" w:lineRule="auto"/>
      </w:pPr>
    </w:p>
    <w:p w:rsidR="00725871" w:rsidRDefault="00972067">
      <w:pPr>
        <w:pStyle w:val="BodyA"/>
        <w:spacing w:line="240" w:lineRule="auto"/>
      </w:pPr>
      <w:proofErr w:type="spellStart"/>
      <w:proofErr w:type="gramStart"/>
      <w:r>
        <w:t>Borszcz</w:t>
      </w:r>
      <w:proofErr w:type="spellEnd"/>
      <w:r>
        <w:t>, S. (2018).</w:t>
      </w:r>
      <w:proofErr w:type="gramEnd"/>
      <w:r>
        <w:t xml:space="preserve"> </w:t>
      </w:r>
      <w:proofErr w:type="gramStart"/>
      <w:r>
        <w:rPr>
          <w:i/>
          <w:iCs/>
        </w:rPr>
        <w:t>Interview with XXX</w:t>
      </w:r>
      <w:r>
        <w:t>.</w:t>
      </w:r>
      <w:proofErr w:type="gramEnd"/>
      <w:r>
        <w:t xml:space="preserve"> [</w:t>
      </w:r>
      <w:proofErr w:type="gramStart"/>
      <w:r>
        <w:t>online</w:t>
      </w:r>
      <w:proofErr w:type="gramEnd"/>
      <w:r>
        <w:t xml:space="preserve">] </w:t>
      </w:r>
      <w:proofErr w:type="gramStart"/>
      <w:r>
        <w:t>Girl Friday.</w:t>
      </w:r>
      <w:proofErr w:type="gramEnd"/>
      <w:r>
        <w:t xml:space="preserve"> </w:t>
      </w:r>
      <w:proofErr w:type="gramStart"/>
      <w:r>
        <w:t>Retrieved from: https://www.girlfriday.org.uk/new-blog/interview-with-XXX [Accessed 21 Nov. 2018].</w:t>
      </w:r>
      <w:proofErr w:type="gramEnd"/>
    </w:p>
    <w:p w:rsidR="00725871" w:rsidRDefault="00725871">
      <w:pPr>
        <w:pStyle w:val="BodyA"/>
        <w:spacing w:line="240" w:lineRule="auto"/>
      </w:pPr>
    </w:p>
    <w:p w:rsidR="00725871" w:rsidRDefault="00972067">
      <w:pPr>
        <w:pStyle w:val="BodyA"/>
        <w:spacing w:line="240" w:lineRule="auto"/>
      </w:pPr>
      <w:r>
        <w:rPr>
          <w:lang w:val="de-DE"/>
        </w:rPr>
        <w:t xml:space="preserve">Brundtland Commission (1987). </w:t>
      </w:r>
      <w:r>
        <w:rPr>
          <w:i/>
          <w:iCs/>
        </w:rPr>
        <w:t>Report of the World Commission on Environment and D</w:t>
      </w:r>
      <w:r>
        <w:rPr>
          <w:i/>
          <w:iCs/>
        </w:rPr>
        <w:t>e</w:t>
      </w:r>
      <w:r>
        <w:rPr>
          <w:i/>
          <w:iCs/>
        </w:rPr>
        <w:t>velopment: Our Common Future</w:t>
      </w:r>
      <w:r>
        <w:rPr>
          <w:lang w:val="pt-PT"/>
        </w:rPr>
        <w:t xml:space="preserve">. [online] Oxford University Press. </w:t>
      </w:r>
      <w:r>
        <w:rPr>
          <w:rStyle w:val="Hyperlink0"/>
        </w:rPr>
        <w:t>Retrieved from: http://www.un-documents.net/our-common-future.pdf [Accessed 2 Dec. 2018</w:t>
      </w:r>
    </w:p>
    <w:p w:rsidR="00725871" w:rsidRDefault="00725871">
      <w:pPr>
        <w:pStyle w:val="BodyA"/>
        <w:spacing w:line="240" w:lineRule="auto"/>
      </w:pPr>
    </w:p>
    <w:p w:rsidR="00725871" w:rsidRDefault="00972067">
      <w:pPr>
        <w:pStyle w:val="BodyA"/>
        <w:spacing w:line="240" w:lineRule="auto"/>
      </w:pPr>
      <w:r>
        <w:t>Crane, A. and Matten,</w:t>
      </w:r>
      <w:r>
        <w:t xml:space="preserve"> D. (2016). </w:t>
      </w:r>
      <w:proofErr w:type="gramStart"/>
      <w:r>
        <w:rPr>
          <w:i/>
          <w:iCs/>
        </w:rPr>
        <w:t>Business Ethics</w:t>
      </w:r>
      <w:r>
        <w:t>.</w:t>
      </w:r>
      <w:proofErr w:type="gramEnd"/>
      <w:r>
        <w:t xml:space="preserve"> 4th </w:t>
      </w:r>
      <w:proofErr w:type="gramStart"/>
      <w:r>
        <w:t>ed</w:t>
      </w:r>
      <w:proofErr w:type="gramEnd"/>
      <w:r>
        <w:t>. New York: Oxford University Press.</w:t>
      </w:r>
    </w:p>
    <w:p w:rsidR="00725871" w:rsidRDefault="00725871">
      <w:pPr>
        <w:pStyle w:val="BodyA"/>
        <w:spacing w:line="240" w:lineRule="auto"/>
      </w:pPr>
    </w:p>
    <w:p w:rsidR="00725871" w:rsidRDefault="00972067">
      <w:pPr>
        <w:pStyle w:val="BodyA"/>
        <w:spacing w:line="240" w:lineRule="auto"/>
      </w:pPr>
      <w:r>
        <w:t xml:space="preserve">Crane, A., Palazzo, G., Spence, L. and Matten, D. (2014). </w:t>
      </w:r>
      <w:proofErr w:type="gramStart"/>
      <w:r>
        <w:t>Contesting the Value of “Crea</w:t>
      </w:r>
      <w:r>
        <w:t>t</w:t>
      </w:r>
      <w:r>
        <w:t>ing Shared Value”.</w:t>
      </w:r>
      <w:proofErr w:type="gramEnd"/>
      <w:r>
        <w:t xml:space="preserve"> </w:t>
      </w:r>
      <w:r>
        <w:rPr>
          <w:i/>
          <w:iCs/>
        </w:rPr>
        <w:t>California Management Review</w:t>
      </w:r>
      <w:r>
        <w:t>, 56(2), pp.130 - 145.</w:t>
      </w:r>
    </w:p>
    <w:p w:rsidR="00725871" w:rsidRDefault="00725871">
      <w:pPr>
        <w:pStyle w:val="BodyA"/>
        <w:spacing w:line="240" w:lineRule="auto"/>
      </w:pPr>
    </w:p>
    <w:p w:rsidR="00725871" w:rsidRDefault="00972067">
      <w:pPr>
        <w:pStyle w:val="BodyA"/>
        <w:spacing w:line="240" w:lineRule="auto"/>
      </w:pPr>
      <w:r>
        <w:rPr>
          <w:lang w:val="de-DE"/>
        </w:rPr>
        <w:t xml:space="preserve">Crowdfunder UK. (n.d.). </w:t>
      </w:r>
      <w:r>
        <w:rPr>
          <w:i/>
          <w:iCs/>
        </w:rPr>
        <w:t>XXX</w:t>
      </w:r>
      <w:r>
        <w:rPr>
          <w:lang w:val="pt-PT"/>
        </w:rPr>
        <w:t>. [</w:t>
      </w:r>
      <w:proofErr w:type="gramStart"/>
      <w:r>
        <w:rPr>
          <w:lang w:val="pt-PT"/>
        </w:rPr>
        <w:t>online</w:t>
      </w:r>
      <w:proofErr w:type="gramEnd"/>
      <w:r>
        <w:rPr>
          <w:lang w:val="pt-PT"/>
        </w:rPr>
        <w:t xml:space="preserve">] </w:t>
      </w:r>
      <w:r>
        <w:rPr>
          <w:rStyle w:val="Hyperlink0"/>
        </w:rPr>
        <w:t>Retrieved from: https://www.crowdfunder.co.uk/XXX [Accessed 10 Nov. 2018].</w:t>
      </w:r>
    </w:p>
    <w:p w:rsidR="00725871" w:rsidRDefault="00725871">
      <w:pPr>
        <w:pStyle w:val="BodyA"/>
        <w:spacing w:line="240" w:lineRule="auto"/>
      </w:pPr>
    </w:p>
    <w:p w:rsidR="00725871" w:rsidRDefault="00972067">
      <w:pPr>
        <w:pStyle w:val="BodyA"/>
        <w:spacing w:line="240" w:lineRule="auto"/>
      </w:pPr>
      <w:r>
        <w:t xml:space="preserve">Delgado, M., Porter, M. and Stern, S. (2015). </w:t>
      </w:r>
      <w:proofErr w:type="gramStart"/>
      <w:r>
        <w:t>Defining clusters of related industries.</w:t>
      </w:r>
      <w:proofErr w:type="gramEnd"/>
      <w:r>
        <w:t xml:space="preserve"> </w:t>
      </w:r>
      <w:proofErr w:type="gramStart"/>
      <w:r>
        <w:rPr>
          <w:i/>
          <w:iCs/>
        </w:rPr>
        <w:t>Jou</w:t>
      </w:r>
      <w:r>
        <w:rPr>
          <w:i/>
          <w:iCs/>
        </w:rPr>
        <w:t>r</w:t>
      </w:r>
      <w:r>
        <w:rPr>
          <w:i/>
          <w:iCs/>
        </w:rPr>
        <w:t>nal of Economic Geography</w:t>
      </w:r>
      <w:r>
        <w:t>, 16(1), pp.1-38.</w:t>
      </w:r>
      <w:proofErr w:type="gramEnd"/>
    </w:p>
    <w:p w:rsidR="00725871" w:rsidRDefault="00725871">
      <w:pPr>
        <w:pStyle w:val="BodyA"/>
        <w:spacing w:line="240" w:lineRule="auto"/>
      </w:pPr>
    </w:p>
    <w:p w:rsidR="00725871" w:rsidRDefault="00972067">
      <w:pPr>
        <w:pStyle w:val="BodyA"/>
        <w:spacing w:line="240" w:lineRule="auto"/>
      </w:pPr>
      <w:proofErr w:type="spellStart"/>
      <w:r>
        <w:rPr>
          <w:rStyle w:val="Hyperlink0"/>
        </w:rPr>
        <w:t>Donsky</w:t>
      </w:r>
      <w:proofErr w:type="spellEnd"/>
      <w:r>
        <w:rPr>
          <w:rStyle w:val="Hyperlink0"/>
        </w:rPr>
        <w:t>, A. (2013). Conventional</w:t>
      </w:r>
      <w:r>
        <w:rPr>
          <w:rStyle w:val="Hyperlink0"/>
        </w:rPr>
        <w:t xml:space="preserve"> Feminine Hygiene Products: A Women’s Issue </w:t>
      </w:r>
      <w:proofErr w:type="gramStart"/>
      <w:r>
        <w:rPr>
          <w:rStyle w:val="Hyperlink0"/>
        </w:rPr>
        <w:t>With</w:t>
      </w:r>
      <w:proofErr w:type="gramEnd"/>
      <w:r>
        <w:rPr>
          <w:rStyle w:val="Hyperlink0"/>
        </w:rPr>
        <w:t xml:space="preserve"> To</w:t>
      </w:r>
      <w:r>
        <w:rPr>
          <w:rStyle w:val="Hyperlink0"/>
        </w:rPr>
        <w:t>x</w:t>
      </w:r>
      <w:r>
        <w:rPr>
          <w:rStyle w:val="Hyperlink0"/>
        </w:rPr>
        <w:t xml:space="preserve">ic Implications. </w:t>
      </w:r>
      <w:r>
        <w:rPr>
          <w:i/>
          <w:iCs/>
        </w:rPr>
        <w:t>Naturally Savvy</w:t>
      </w:r>
      <w:r>
        <w:rPr>
          <w:lang w:val="pt-PT"/>
        </w:rPr>
        <w:t xml:space="preserve">. [online] </w:t>
      </w:r>
      <w:r>
        <w:rPr>
          <w:rStyle w:val="Hyperlink0"/>
        </w:rPr>
        <w:t>Retrieved from: http://naturallysavvy.com/care/conventional-feminine-hygiene-products-a-womens-issue-with-toxic-implications [Accessed 10 Dec. 2018].</w:t>
      </w:r>
    </w:p>
    <w:p w:rsidR="00725871" w:rsidRDefault="00725871">
      <w:pPr>
        <w:pStyle w:val="BodyA"/>
        <w:spacing w:line="240" w:lineRule="auto"/>
      </w:pPr>
    </w:p>
    <w:p w:rsidR="00725871" w:rsidRDefault="00972067">
      <w:pPr>
        <w:pStyle w:val="BodyA"/>
        <w:spacing w:line="240" w:lineRule="auto"/>
      </w:pPr>
      <w:r>
        <w:rPr>
          <w:rStyle w:val="Hyperlink0"/>
        </w:rPr>
        <w:t>XXX. (2018</w:t>
      </w:r>
      <w:r>
        <w:rPr>
          <w:rStyle w:val="Hyperlink0"/>
        </w:rPr>
        <w:t xml:space="preserve">). </w:t>
      </w:r>
      <w:r>
        <w:rPr>
          <w:i/>
          <w:iCs/>
          <w:lang w:val="it-IT"/>
        </w:rPr>
        <w:t>XXX Period Manifesto - XXX</w:t>
      </w:r>
      <w:r>
        <w:rPr>
          <w:lang w:val="pt-PT"/>
        </w:rPr>
        <w:t xml:space="preserve">. [online] </w:t>
      </w:r>
      <w:r>
        <w:rPr>
          <w:rStyle w:val="Hyperlink0"/>
        </w:rPr>
        <w:t>Retrieved from: https://myXXX.com/manifesto/ [Accessed 21 Nov. 2018].</w:t>
      </w:r>
    </w:p>
    <w:p w:rsidR="00725871" w:rsidRDefault="00725871">
      <w:pPr>
        <w:pStyle w:val="BodyA"/>
        <w:spacing w:line="240" w:lineRule="auto"/>
      </w:pPr>
    </w:p>
    <w:p w:rsidR="00725871" w:rsidRDefault="00972067">
      <w:pPr>
        <w:pStyle w:val="BodyA"/>
        <w:spacing w:line="240" w:lineRule="auto"/>
      </w:pPr>
      <w:r>
        <w:rPr>
          <w:rStyle w:val="Hyperlink0"/>
        </w:rPr>
        <w:t xml:space="preserve">XXX. (2018). </w:t>
      </w:r>
      <w:proofErr w:type="gramStart"/>
      <w:r>
        <w:rPr>
          <w:i/>
          <w:iCs/>
        </w:rPr>
        <w:t>Our story - XXX</w:t>
      </w:r>
      <w:r>
        <w:rPr>
          <w:lang w:val="pt-PT"/>
        </w:rPr>
        <w:t>.</w:t>
      </w:r>
      <w:proofErr w:type="gramEnd"/>
      <w:r>
        <w:rPr>
          <w:lang w:val="pt-PT"/>
        </w:rPr>
        <w:t xml:space="preserve"> [online] </w:t>
      </w:r>
      <w:r>
        <w:rPr>
          <w:rStyle w:val="Hyperlink0"/>
        </w:rPr>
        <w:t>Retrieved from: https://myXXX.com/our-story/ [A</w:t>
      </w:r>
      <w:r>
        <w:rPr>
          <w:rStyle w:val="Hyperlink0"/>
        </w:rPr>
        <w:t>c</w:t>
      </w:r>
      <w:r>
        <w:rPr>
          <w:rStyle w:val="Hyperlink0"/>
        </w:rPr>
        <w:t>cessed 10 Nov. 2018].</w:t>
      </w:r>
    </w:p>
    <w:p w:rsidR="00725871" w:rsidRDefault="00725871">
      <w:pPr>
        <w:pStyle w:val="BodyA"/>
        <w:spacing w:line="240" w:lineRule="auto"/>
      </w:pPr>
    </w:p>
    <w:p w:rsidR="00725871" w:rsidRDefault="00972067">
      <w:pPr>
        <w:pStyle w:val="BodyA"/>
        <w:spacing w:line="240" w:lineRule="auto"/>
      </w:pPr>
      <w:r>
        <w:rPr>
          <w:rStyle w:val="Hyperlink0"/>
        </w:rPr>
        <w:t xml:space="preserve">XXX. (2018). </w:t>
      </w:r>
      <w:r>
        <w:rPr>
          <w:i/>
          <w:iCs/>
        </w:rPr>
        <w:t xml:space="preserve">Tampons - XXX </w:t>
      </w:r>
      <w:r>
        <w:rPr>
          <w:lang w:val="pt-PT"/>
        </w:rPr>
        <w:t>[online]</w:t>
      </w:r>
      <w:r>
        <w:rPr>
          <w:lang w:val="pt-PT"/>
        </w:rPr>
        <w:t xml:space="preserve"> </w:t>
      </w:r>
      <w:r>
        <w:rPr>
          <w:rStyle w:val="Hyperlink0"/>
        </w:rPr>
        <w:t>Retrieved from: https://myXXX.com/product/tampons/ [Accessed 10 Nov. 2018].</w:t>
      </w:r>
    </w:p>
    <w:p w:rsidR="00725871" w:rsidRDefault="00725871">
      <w:pPr>
        <w:pStyle w:val="BodyA"/>
        <w:spacing w:line="240" w:lineRule="auto"/>
      </w:pPr>
    </w:p>
    <w:p w:rsidR="00725871" w:rsidRDefault="00972067">
      <w:pPr>
        <w:pStyle w:val="BodyA"/>
        <w:spacing w:line="240" w:lineRule="auto"/>
      </w:pPr>
      <w:r>
        <w:rPr>
          <w:lang w:val="de-DE"/>
        </w:rPr>
        <w:lastRenderedPageBreak/>
        <w:t xml:space="preserve">Kiefer, T. (2018). </w:t>
      </w:r>
      <w:proofErr w:type="gramStart"/>
      <w:r>
        <w:rPr>
          <w:i/>
          <w:iCs/>
        </w:rPr>
        <w:t>5 Amazing Companies Working In Menstrual Hygiene</w:t>
      </w:r>
      <w:r>
        <w:rPr>
          <w:lang w:val="pt-PT"/>
        </w:rPr>
        <w:t>.</w:t>
      </w:r>
      <w:proofErr w:type="gramEnd"/>
      <w:r>
        <w:rPr>
          <w:lang w:val="pt-PT"/>
        </w:rPr>
        <w:t xml:space="preserve"> [online] Forbes. </w:t>
      </w:r>
      <w:proofErr w:type="gramStart"/>
      <w:r>
        <w:rPr>
          <w:rStyle w:val="Hyperlink0"/>
        </w:rPr>
        <w:t>Retrieved from: https://www.forbes.com/sites/ashoka/2015/06/10/5-amazing-companies-working-i</w:t>
      </w:r>
      <w:r>
        <w:rPr>
          <w:rStyle w:val="Hyperlink0"/>
        </w:rPr>
        <w:t>n-menstrual-hygiene/#6a99bf5759bf [Accessed 29 Nov. 2018].</w:t>
      </w:r>
      <w:proofErr w:type="gramEnd"/>
    </w:p>
    <w:p w:rsidR="00725871" w:rsidRDefault="00725871">
      <w:pPr>
        <w:pStyle w:val="BodyA"/>
        <w:spacing w:line="240" w:lineRule="auto"/>
      </w:pPr>
    </w:p>
    <w:p w:rsidR="00725871" w:rsidRDefault="00972067">
      <w:pPr>
        <w:pStyle w:val="BodyA"/>
        <w:spacing w:line="240" w:lineRule="auto"/>
      </w:pPr>
      <w:proofErr w:type="spellStart"/>
      <w:r>
        <w:t>Levett</w:t>
      </w:r>
      <w:proofErr w:type="spellEnd"/>
      <w:r>
        <w:t xml:space="preserve">, R. (1998). </w:t>
      </w:r>
      <w:proofErr w:type="gramStart"/>
      <w:r>
        <w:t>Sustainability indicators - Integrating quality of life and environmental protection.</w:t>
      </w:r>
      <w:proofErr w:type="gramEnd"/>
      <w:r>
        <w:t xml:space="preserve"> </w:t>
      </w:r>
      <w:r>
        <w:rPr>
          <w:i/>
          <w:iCs/>
        </w:rPr>
        <w:t>Journal of the Royal Statistical Society: Series A (Statistics in Society)</w:t>
      </w:r>
      <w:r>
        <w:t>, 161(3), pp.291-</w:t>
      </w:r>
      <w:r>
        <w:t>302.</w:t>
      </w:r>
    </w:p>
    <w:p w:rsidR="00725871" w:rsidRDefault="00725871">
      <w:pPr>
        <w:pStyle w:val="BodyA"/>
        <w:spacing w:line="240" w:lineRule="auto"/>
      </w:pPr>
    </w:p>
    <w:p w:rsidR="00725871" w:rsidRDefault="00972067">
      <w:pPr>
        <w:pStyle w:val="BodyA"/>
        <w:spacing w:line="240" w:lineRule="auto"/>
      </w:pPr>
      <w:r>
        <w:rPr>
          <w:rStyle w:val="Hyperlink0"/>
        </w:rPr>
        <w:t xml:space="preserve">XXX. (2018). </w:t>
      </w:r>
      <w:proofErr w:type="gramStart"/>
      <w:r>
        <w:rPr>
          <w:i/>
          <w:iCs/>
        </w:rPr>
        <w:t>Environment</w:t>
      </w:r>
      <w:r>
        <w:rPr>
          <w:lang w:val="pt-PT"/>
        </w:rPr>
        <w:t>.</w:t>
      </w:r>
      <w:proofErr w:type="gramEnd"/>
      <w:r>
        <w:rPr>
          <w:lang w:val="pt-PT"/>
        </w:rPr>
        <w:t xml:space="preserve"> [online] </w:t>
      </w:r>
      <w:r>
        <w:rPr>
          <w:rStyle w:val="Hyperlink0"/>
        </w:rPr>
        <w:t>Retrieved from: https://XXX/pages/environment [A</w:t>
      </w:r>
      <w:r>
        <w:rPr>
          <w:rStyle w:val="Hyperlink0"/>
        </w:rPr>
        <w:t>c</w:t>
      </w:r>
      <w:r>
        <w:rPr>
          <w:rStyle w:val="Hyperlink0"/>
        </w:rPr>
        <w:t>cessed 12 Dec. 2018].</w:t>
      </w:r>
    </w:p>
    <w:p w:rsidR="00725871" w:rsidRDefault="00725871">
      <w:pPr>
        <w:pStyle w:val="BodyA"/>
        <w:spacing w:line="240" w:lineRule="auto"/>
      </w:pPr>
    </w:p>
    <w:p w:rsidR="00725871" w:rsidRDefault="00972067">
      <w:pPr>
        <w:pStyle w:val="BodyA"/>
        <w:spacing w:line="240" w:lineRule="auto"/>
      </w:pPr>
      <w:proofErr w:type="gramStart"/>
      <w:r>
        <w:t>Marine Conservation Society (2017).</w:t>
      </w:r>
      <w:proofErr w:type="gramEnd"/>
      <w:r>
        <w:t xml:space="preserve"> </w:t>
      </w:r>
      <w:r>
        <w:rPr>
          <w:i/>
          <w:iCs/>
        </w:rPr>
        <w:t>The Great British Beach Clean Report 2017</w:t>
      </w:r>
      <w:r>
        <w:t xml:space="preserve">. </w:t>
      </w:r>
      <w:proofErr w:type="gramStart"/>
      <w:r>
        <w:t>Great British Beach Clean.</w:t>
      </w:r>
      <w:proofErr w:type="gramEnd"/>
      <w:r>
        <w:t xml:space="preserve"> [</w:t>
      </w:r>
      <w:proofErr w:type="gramStart"/>
      <w:r>
        <w:t>online</w:t>
      </w:r>
      <w:proofErr w:type="gramEnd"/>
      <w:r>
        <w:t>] Herefordshire: Marine Conser</w:t>
      </w:r>
      <w:r>
        <w:t xml:space="preserve">vation Society. </w:t>
      </w:r>
      <w:proofErr w:type="gramStart"/>
      <w:r>
        <w:t>Retrieved from: https://www.mcsuk.org/media/GBBC_2017_Report.pdf [Accessed 10 Dec. 2018].</w:t>
      </w:r>
      <w:proofErr w:type="gramEnd"/>
    </w:p>
    <w:p w:rsidR="00725871" w:rsidRDefault="00725871">
      <w:pPr>
        <w:pStyle w:val="BodyA"/>
        <w:spacing w:line="240" w:lineRule="auto"/>
      </w:pPr>
    </w:p>
    <w:p w:rsidR="00725871" w:rsidRDefault="00972067">
      <w:pPr>
        <w:pStyle w:val="BodyA"/>
        <w:spacing w:line="240" w:lineRule="auto"/>
      </w:pPr>
      <w:r>
        <w:rPr>
          <w:rStyle w:val="Hyperlink0"/>
        </w:rPr>
        <w:t xml:space="preserve">Matthews, S. (2018). </w:t>
      </w:r>
      <w:proofErr w:type="gramStart"/>
      <w:r>
        <w:rPr>
          <w:rStyle w:val="Hyperlink0"/>
        </w:rPr>
        <w:t>Eco-friendly firm XXX 'reboots' period care.</w:t>
      </w:r>
      <w:proofErr w:type="gramEnd"/>
      <w:r>
        <w:rPr>
          <w:rStyle w:val="Hyperlink0"/>
        </w:rPr>
        <w:t xml:space="preserve"> </w:t>
      </w:r>
      <w:r>
        <w:rPr>
          <w:i/>
          <w:iCs/>
          <w:lang w:val="de-DE"/>
        </w:rPr>
        <w:t>Daily Mail Online</w:t>
      </w:r>
      <w:r>
        <w:rPr>
          <w:lang w:val="pt-PT"/>
        </w:rPr>
        <w:t xml:space="preserve">. [online] </w:t>
      </w:r>
      <w:r>
        <w:rPr>
          <w:rStyle w:val="Hyperlink0"/>
        </w:rPr>
        <w:t>Retrieved from: https://www.dailymail.co.uk/health/arti</w:t>
      </w:r>
      <w:r>
        <w:rPr>
          <w:rStyle w:val="Hyperlink0"/>
        </w:rPr>
        <w:t>cle-5303105/Eco-friendly-firm-reboots-period-care.html [Accessed 26 Nov. 2018].</w:t>
      </w:r>
    </w:p>
    <w:p w:rsidR="00725871" w:rsidRDefault="00725871">
      <w:pPr>
        <w:pStyle w:val="BodyA"/>
        <w:spacing w:line="240" w:lineRule="auto"/>
      </w:pPr>
    </w:p>
    <w:p w:rsidR="00725871" w:rsidRDefault="00972067">
      <w:pPr>
        <w:pStyle w:val="BodyA"/>
        <w:spacing w:line="240" w:lineRule="auto"/>
      </w:pPr>
      <w:proofErr w:type="spellStart"/>
      <w:proofErr w:type="gramStart"/>
      <w:r>
        <w:t>Mazgaj</w:t>
      </w:r>
      <w:proofErr w:type="spellEnd"/>
      <w:r>
        <w:t xml:space="preserve">, M., </w:t>
      </w:r>
      <w:proofErr w:type="spellStart"/>
      <w:r>
        <w:t>Yaramenka</w:t>
      </w:r>
      <w:proofErr w:type="spellEnd"/>
      <w:r>
        <w:t xml:space="preserve">, K. and </w:t>
      </w:r>
      <w:proofErr w:type="spellStart"/>
      <w:r>
        <w:t>Malovana</w:t>
      </w:r>
      <w:proofErr w:type="spellEnd"/>
      <w:r>
        <w:t>, O. (2006).</w:t>
      </w:r>
      <w:proofErr w:type="gramEnd"/>
      <w:r>
        <w:t xml:space="preserve"> </w:t>
      </w:r>
      <w:proofErr w:type="gramStart"/>
      <w:r>
        <w:t>Comparative Life Cycle Assessment of Sanitary Pads and Tampons.</w:t>
      </w:r>
      <w:proofErr w:type="gramEnd"/>
      <w:r>
        <w:t xml:space="preserve"> </w:t>
      </w:r>
      <w:proofErr w:type="gramStart"/>
      <w:r>
        <w:t>Royal Institute of Technology Stockholm.</w:t>
      </w:r>
      <w:proofErr w:type="gramEnd"/>
    </w:p>
    <w:p w:rsidR="00725871" w:rsidRDefault="00725871">
      <w:pPr>
        <w:pStyle w:val="BodyA"/>
        <w:spacing w:line="240" w:lineRule="auto"/>
      </w:pPr>
    </w:p>
    <w:p w:rsidR="00725871" w:rsidRDefault="00972067">
      <w:pPr>
        <w:pStyle w:val="BodyA"/>
        <w:spacing w:line="240" w:lineRule="auto"/>
      </w:pPr>
      <w:proofErr w:type="gramStart"/>
      <w:r>
        <w:t>Mintel (2018).</w:t>
      </w:r>
      <w:proofErr w:type="gramEnd"/>
      <w:r>
        <w:t xml:space="preserve"> </w:t>
      </w:r>
      <w:r>
        <w:rPr>
          <w:i/>
          <w:iCs/>
        </w:rPr>
        <w:t>Fem</w:t>
      </w:r>
      <w:r>
        <w:rPr>
          <w:i/>
          <w:iCs/>
        </w:rPr>
        <w:t>inine Hygiene and Sanitary Protection Products - UK - January 2018</w:t>
      </w:r>
      <w:r>
        <w:t xml:space="preserve">. </w:t>
      </w:r>
      <w:proofErr w:type="gramStart"/>
      <w:r>
        <w:t>Feminine Hygiene and Sanitary Protection Products.</w:t>
      </w:r>
      <w:proofErr w:type="gramEnd"/>
      <w:r>
        <w:t xml:space="preserve"> [</w:t>
      </w:r>
      <w:proofErr w:type="gramStart"/>
      <w:r>
        <w:t>online</w:t>
      </w:r>
      <w:proofErr w:type="gramEnd"/>
      <w:r>
        <w:t xml:space="preserve">] </w:t>
      </w:r>
      <w:proofErr w:type="gramStart"/>
      <w:r>
        <w:t>Mintel.</w:t>
      </w:r>
      <w:proofErr w:type="gramEnd"/>
      <w:r>
        <w:t xml:space="preserve"> </w:t>
      </w:r>
      <w:proofErr w:type="gramStart"/>
      <w:r>
        <w:t>Retrieved from: http://academic.mintel.com.salford.idm.oclc.org/display/858711/ [Accessed 26 Nov. 2018].</w:t>
      </w:r>
      <w:proofErr w:type="gramEnd"/>
    </w:p>
    <w:p w:rsidR="00725871" w:rsidRDefault="00725871">
      <w:pPr>
        <w:pStyle w:val="BodyA"/>
        <w:spacing w:line="240" w:lineRule="auto"/>
      </w:pPr>
    </w:p>
    <w:p w:rsidR="00725871" w:rsidRDefault="00972067">
      <w:pPr>
        <w:pStyle w:val="BodyA"/>
        <w:spacing w:line="240" w:lineRule="auto"/>
      </w:pPr>
      <w:proofErr w:type="spellStart"/>
      <w:r>
        <w:rPr>
          <w:rStyle w:val="Hyperlink0"/>
        </w:rPr>
        <w:t>Mosanya</w:t>
      </w:r>
      <w:proofErr w:type="spellEnd"/>
      <w:r>
        <w:rPr>
          <w:rStyle w:val="Hyperlink0"/>
        </w:rPr>
        <w:t>, L. (2</w:t>
      </w:r>
      <w:r>
        <w:rPr>
          <w:rStyle w:val="Hyperlink0"/>
        </w:rPr>
        <w:t>017). '</w:t>
      </w:r>
      <w:proofErr w:type="spellStart"/>
      <w:r>
        <w:rPr>
          <w:rStyle w:val="Hyperlink0"/>
        </w:rPr>
        <w:t>Recognising</w:t>
      </w:r>
      <w:proofErr w:type="spellEnd"/>
      <w:r>
        <w:rPr>
          <w:rStyle w:val="Hyperlink0"/>
        </w:rPr>
        <w:t xml:space="preserve"> the symptoms of toxic shock syndrome saved my life'. </w:t>
      </w:r>
      <w:proofErr w:type="gramStart"/>
      <w:r>
        <w:rPr>
          <w:i/>
          <w:iCs/>
        </w:rPr>
        <w:t>BBC Newsbeat</w:t>
      </w:r>
      <w:r>
        <w:rPr>
          <w:lang w:val="pt-PT"/>
        </w:rPr>
        <w:t>, [online].</w:t>
      </w:r>
      <w:proofErr w:type="gramEnd"/>
      <w:r>
        <w:rPr>
          <w:lang w:val="pt-PT"/>
        </w:rPr>
        <w:t xml:space="preserve"> </w:t>
      </w:r>
      <w:proofErr w:type="gramStart"/>
      <w:r>
        <w:rPr>
          <w:rStyle w:val="Hyperlink0"/>
        </w:rPr>
        <w:t>Retrieved from: http://www.bbc.co.uk/newsbeat/article/38962250/recognising-the-symptoms-of-toxic-shock-syndrome-saved-my-life [Accessed 11 Dec. 2018].</w:t>
      </w:r>
      <w:proofErr w:type="gramEnd"/>
    </w:p>
    <w:p w:rsidR="00725871" w:rsidRDefault="00725871">
      <w:pPr>
        <w:pStyle w:val="BodyA"/>
        <w:spacing w:line="240" w:lineRule="auto"/>
      </w:pPr>
    </w:p>
    <w:p w:rsidR="00725871" w:rsidRDefault="00972067">
      <w:pPr>
        <w:pStyle w:val="BodyA"/>
        <w:spacing w:line="240" w:lineRule="auto"/>
      </w:pPr>
      <w:proofErr w:type="gramStart"/>
      <w:r>
        <w:rPr>
          <w:i/>
          <w:iCs/>
        </w:rPr>
        <w:t>My XXX -</w:t>
      </w:r>
      <w:r>
        <w:rPr>
          <w:i/>
          <w:iCs/>
        </w:rPr>
        <w:t xml:space="preserve"> Period Dramas</w:t>
      </w:r>
      <w:r>
        <w:t>.</w:t>
      </w:r>
      <w:proofErr w:type="gramEnd"/>
      <w:r>
        <w:t xml:space="preserve"> [</w:t>
      </w:r>
      <w:proofErr w:type="gramStart"/>
      <w:r>
        <w:t>film</w:t>
      </w:r>
      <w:proofErr w:type="gramEnd"/>
      <w:r>
        <w:t xml:space="preserve">] (2018). Directed by C. </w:t>
      </w:r>
      <w:proofErr w:type="spellStart"/>
      <w:r>
        <w:t>Pinegar</w:t>
      </w:r>
      <w:proofErr w:type="spellEnd"/>
      <w:r>
        <w:t xml:space="preserve">. XXX. Retrieved from: </w:t>
      </w:r>
      <w:r>
        <w:rPr>
          <w:u w:val="single"/>
        </w:rPr>
        <w:t>https://www.youtube.com/watch?time_continue=3&amp;v=iNUZnQSrUhM</w:t>
      </w:r>
    </w:p>
    <w:p w:rsidR="00725871" w:rsidRDefault="00725871">
      <w:pPr>
        <w:pStyle w:val="BodyA"/>
        <w:spacing w:line="240" w:lineRule="auto"/>
      </w:pPr>
    </w:p>
    <w:p w:rsidR="00725871" w:rsidRDefault="00972067">
      <w:pPr>
        <w:pStyle w:val="Default"/>
        <w:rPr>
          <w:rFonts w:ascii="Arial" w:eastAsia="Arial" w:hAnsi="Arial" w:cs="Arial"/>
          <w:sz w:val="24"/>
          <w:szCs w:val="24"/>
          <w:shd w:val="clear" w:color="auto" w:fill="FFFFFF"/>
        </w:rPr>
      </w:pPr>
      <w:r>
        <w:rPr>
          <w:rFonts w:ascii="Arial" w:hAnsi="Arial"/>
          <w:sz w:val="24"/>
          <w:szCs w:val="24"/>
          <w:shd w:val="clear" w:color="auto" w:fill="FFFFFF"/>
        </w:rPr>
        <w:t xml:space="preserve">XXX. (2019). </w:t>
      </w:r>
      <w:proofErr w:type="gramStart"/>
      <w:r>
        <w:rPr>
          <w:rFonts w:ascii="Arial" w:hAnsi="Arial"/>
          <w:sz w:val="24"/>
          <w:szCs w:val="24"/>
          <w:shd w:val="clear" w:color="auto" w:fill="FFFFFF"/>
        </w:rPr>
        <w:t xml:space="preserve">Organic Tampons - XXX Organic Cotton Tampons | </w:t>
      </w:r>
      <w:r>
        <w:rPr>
          <w:rFonts w:ascii="Arial" w:hAnsi="Arial"/>
          <w:i/>
          <w:iCs/>
          <w:sz w:val="24"/>
          <w:szCs w:val="24"/>
          <w:shd w:val="clear" w:color="auto" w:fill="FFFFFF"/>
        </w:rPr>
        <w:t>XXX.</w:t>
      </w:r>
      <w:proofErr w:type="gramEnd"/>
      <w:r>
        <w:rPr>
          <w:rFonts w:ascii="Arial" w:hAnsi="Arial"/>
          <w:i/>
          <w:iCs/>
          <w:sz w:val="24"/>
          <w:szCs w:val="24"/>
          <w:shd w:val="clear" w:color="auto" w:fill="FFFFFF"/>
        </w:rPr>
        <w:t xml:space="preserve"> </w:t>
      </w:r>
      <w:r>
        <w:rPr>
          <w:rFonts w:ascii="Arial" w:hAnsi="Arial"/>
          <w:sz w:val="24"/>
          <w:szCs w:val="24"/>
          <w:shd w:val="clear" w:color="auto" w:fill="FFFFFF"/>
        </w:rPr>
        <w:t>[</w:t>
      </w:r>
      <w:proofErr w:type="gramStart"/>
      <w:r>
        <w:rPr>
          <w:rFonts w:ascii="Arial" w:hAnsi="Arial"/>
          <w:sz w:val="24"/>
          <w:szCs w:val="24"/>
          <w:shd w:val="clear" w:color="auto" w:fill="FFFFFF"/>
        </w:rPr>
        <w:t>online</w:t>
      </w:r>
      <w:proofErr w:type="gramEnd"/>
      <w:r>
        <w:rPr>
          <w:rFonts w:ascii="Arial" w:hAnsi="Arial"/>
          <w:sz w:val="24"/>
          <w:szCs w:val="24"/>
          <w:shd w:val="clear" w:color="auto" w:fill="FFFFFF"/>
        </w:rPr>
        <w:t xml:space="preserve">] Available at: </w:t>
      </w:r>
      <w:r>
        <w:rPr>
          <w:rFonts w:ascii="Arial" w:hAnsi="Arial"/>
          <w:sz w:val="24"/>
          <w:szCs w:val="24"/>
          <w:shd w:val="clear" w:color="auto" w:fill="FFFFFF"/>
        </w:rPr>
        <w:t>http://www.XXX.com/products/tampons/ [Accessed 2 Jan. 2019].</w:t>
      </w:r>
    </w:p>
    <w:p w:rsidR="00725871" w:rsidRDefault="00725871">
      <w:pPr>
        <w:pStyle w:val="BodyA"/>
        <w:spacing w:line="240" w:lineRule="auto"/>
      </w:pPr>
    </w:p>
    <w:p w:rsidR="00725871" w:rsidRDefault="00972067">
      <w:pPr>
        <w:pStyle w:val="BodyA"/>
        <w:spacing w:line="240" w:lineRule="auto"/>
      </w:pPr>
      <w:r>
        <w:rPr>
          <w:lang w:val="it-IT"/>
        </w:rPr>
        <w:t>Nordic Ecolabe</w:t>
      </w:r>
      <w:proofErr w:type="spellStart"/>
      <w:r>
        <w:rPr>
          <w:rStyle w:val="Hyperlink0"/>
        </w:rPr>
        <w:t>lling</w:t>
      </w:r>
      <w:proofErr w:type="spellEnd"/>
      <w:r>
        <w:rPr>
          <w:lang w:val="pt-PT"/>
        </w:rPr>
        <w:t xml:space="preserve">. (n.d.). Circular Economy. [online] </w:t>
      </w:r>
      <w:r>
        <w:rPr>
          <w:rStyle w:val="Hyperlink0"/>
        </w:rPr>
        <w:t>Retrieved from: https://www.nordic-ecolabel.org/why-choose-ecolabelling/circular-economy/ [Accessed 10 Dec. 2018].</w:t>
      </w:r>
    </w:p>
    <w:p w:rsidR="00725871" w:rsidRDefault="00725871">
      <w:pPr>
        <w:pStyle w:val="BodyA"/>
        <w:spacing w:line="240" w:lineRule="auto"/>
      </w:pPr>
    </w:p>
    <w:p w:rsidR="00725871" w:rsidRDefault="00972067">
      <w:pPr>
        <w:pStyle w:val="BodyA"/>
        <w:spacing w:line="240" w:lineRule="auto"/>
      </w:pPr>
      <w:r>
        <w:rPr>
          <w:lang w:val="it-IT"/>
        </w:rPr>
        <w:t>Nordic Ecolabe</w:t>
      </w:r>
      <w:proofErr w:type="spellStart"/>
      <w:r>
        <w:rPr>
          <w:rStyle w:val="Hyperlink0"/>
        </w:rPr>
        <w:t>lling</w:t>
      </w:r>
      <w:proofErr w:type="spellEnd"/>
      <w:r>
        <w:rPr>
          <w:rStyle w:val="Hyperlink0"/>
        </w:rPr>
        <w:t xml:space="preserve">. </w:t>
      </w:r>
      <w:proofErr w:type="gramStart"/>
      <w:r>
        <w:rPr>
          <w:rStyle w:val="Hyperlink0"/>
        </w:rPr>
        <w:t>(</w:t>
      </w:r>
      <w:proofErr w:type="spellStart"/>
      <w:r>
        <w:rPr>
          <w:rStyle w:val="Hyperlink0"/>
        </w:rPr>
        <w:t>n.d.</w:t>
      </w:r>
      <w:proofErr w:type="spellEnd"/>
      <w:r>
        <w:rPr>
          <w:rStyle w:val="Hyperlink0"/>
        </w:rPr>
        <w:t>).</w:t>
      </w:r>
      <w:proofErr w:type="gramEnd"/>
      <w:r>
        <w:rPr>
          <w:rStyle w:val="Hyperlink0"/>
        </w:rPr>
        <w:t xml:space="preserve"> </w:t>
      </w:r>
      <w:proofErr w:type="gramStart"/>
      <w:r>
        <w:rPr>
          <w:rStyle w:val="Hyperlink0"/>
        </w:rPr>
        <w:t>Green Public Procurement</w:t>
      </w:r>
      <w:r>
        <w:rPr>
          <w:lang w:val="pt-PT"/>
        </w:rPr>
        <w:t>.</w:t>
      </w:r>
      <w:proofErr w:type="gramEnd"/>
      <w:r>
        <w:rPr>
          <w:lang w:val="pt-PT"/>
        </w:rPr>
        <w:t xml:space="preserve"> [online] </w:t>
      </w:r>
      <w:r>
        <w:rPr>
          <w:rStyle w:val="Hyperlink0"/>
        </w:rPr>
        <w:t>Retrieved from: https://www.nordic-ecolabel.org/why-choose-ecolabelling/green-public-procurement/</w:t>
      </w:r>
    </w:p>
    <w:p w:rsidR="00725871" w:rsidRDefault="00972067">
      <w:pPr>
        <w:pStyle w:val="BodyA"/>
        <w:spacing w:line="240" w:lineRule="auto"/>
      </w:pPr>
      <w:proofErr w:type="gramStart"/>
      <w:r>
        <w:rPr>
          <w:rStyle w:val="Hyperlink0"/>
        </w:rPr>
        <w:t>[Accessed 12</w:t>
      </w:r>
      <w:r>
        <w:rPr>
          <w:lang w:val="pt-PT"/>
        </w:rPr>
        <w:t xml:space="preserve"> Dec. 2018].</w:t>
      </w:r>
      <w:proofErr w:type="gramEnd"/>
    </w:p>
    <w:p w:rsidR="00725871" w:rsidRDefault="00725871">
      <w:pPr>
        <w:pStyle w:val="BodyA"/>
        <w:spacing w:line="240" w:lineRule="auto"/>
      </w:pPr>
    </w:p>
    <w:p w:rsidR="00725871" w:rsidRDefault="00972067">
      <w:pPr>
        <w:pStyle w:val="BodyA"/>
        <w:spacing w:line="240" w:lineRule="auto"/>
      </w:pPr>
      <w:r>
        <w:rPr>
          <w:lang w:val="it-IT"/>
        </w:rPr>
        <w:t xml:space="preserve">Nordic Ecolabelling (2018). </w:t>
      </w:r>
      <w:proofErr w:type="gramStart"/>
      <w:r>
        <w:rPr>
          <w:i/>
          <w:iCs/>
        </w:rPr>
        <w:t>Nordic Ecolabelling for Sanitary Products</w:t>
      </w:r>
      <w:r>
        <w:rPr>
          <w:lang w:val="pt-PT"/>
        </w:rPr>
        <w:t>.</w:t>
      </w:r>
      <w:proofErr w:type="gramEnd"/>
      <w:r>
        <w:rPr>
          <w:lang w:val="pt-PT"/>
        </w:rPr>
        <w:t xml:space="preserve"> [online] Nordic Eco</w:t>
      </w:r>
      <w:r>
        <w:rPr>
          <w:lang w:val="pt-PT"/>
        </w:rPr>
        <w:t xml:space="preserve">labelling. </w:t>
      </w:r>
      <w:proofErr w:type="gramStart"/>
      <w:r>
        <w:rPr>
          <w:rStyle w:val="Hyperlink0"/>
        </w:rPr>
        <w:t>Retrieved from: https://www.nordic-ecolabel.org/product-groups/group/?productGroupCode=023 [Accessed 10 Dec. 2018].</w:t>
      </w:r>
      <w:proofErr w:type="gramEnd"/>
    </w:p>
    <w:p w:rsidR="00725871" w:rsidRDefault="00725871">
      <w:pPr>
        <w:pStyle w:val="BodyA"/>
        <w:spacing w:line="240" w:lineRule="auto"/>
      </w:pPr>
    </w:p>
    <w:p w:rsidR="00725871" w:rsidRDefault="00972067">
      <w:pPr>
        <w:pStyle w:val="BodyA"/>
        <w:spacing w:line="240" w:lineRule="auto"/>
      </w:pPr>
      <w:r>
        <w:rPr>
          <w:lang w:val="nl-NL"/>
        </w:rPr>
        <w:t xml:space="preserve">Plan International (2018). </w:t>
      </w:r>
      <w:r>
        <w:rPr>
          <w:i/>
          <w:iCs/>
        </w:rPr>
        <w:t>Break the Barriers: Girls’ experiences of menstruation in the UK</w:t>
      </w:r>
      <w:r>
        <w:rPr>
          <w:rStyle w:val="Hyperlink0"/>
        </w:rPr>
        <w:t xml:space="preserve">. </w:t>
      </w:r>
      <w:proofErr w:type="gramStart"/>
      <w:r>
        <w:rPr>
          <w:rStyle w:val="Hyperlink0"/>
        </w:rPr>
        <w:t>Because I Am A Girl.</w:t>
      </w:r>
      <w:proofErr w:type="gramEnd"/>
      <w:r>
        <w:rPr>
          <w:rStyle w:val="Hyperlink0"/>
        </w:rPr>
        <w:t xml:space="preserve"> [</w:t>
      </w:r>
      <w:proofErr w:type="gramStart"/>
      <w:r>
        <w:rPr>
          <w:rStyle w:val="Hyperlink0"/>
        </w:rPr>
        <w:t>online</w:t>
      </w:r>
      <w:proofErr w:type="gramEnd"/>
      <w:r>
        <w:rPr>
          <w:rStyle w:val="Hyperlink0"/>
        </w:rPr>
        <w:t xml:space="preserve">] Plan </w:t>
      </w:r>
      <w:r>
        <w:rPr>
          <w:rStyle w:val="Hyperlink0"/>
        </w:rPr>
        <w:t xml:space="preserve">International. </w:t>
      </w:r>
      <w:proofErr w:type="gramStart"/>
      <w:r>
        <w:rPr>
          <w:rStyle w:val="Hyperlink0"/>
        </w:rPr>
        <w:t>Retrieved from: https://plan-uk.org/file/plan-uk-break-the-barriers-report-032018pdf/download?token=Fs-HYP3v [A</w:t>
      </w:r>
      <w:r>
        <w:rPr>
          <w:rStyle w:val="Hyperlink0"/>
        </w:rPr>
        <w:t>c</w:t>
      </w:r>
      <w:r>
        <w:rPr>
          <w:rStyle w:val="Hyperlink0"/>
        </w:rPr>
        <w:t>cessed 12 Dec. 2018].</w:t>
      </w:r>
      <w:proofErr w:type="gramEnd"/>
    </w:p>
    <w:p w:rsidR="00725871" w:rsidRDefault="00725871">
      <w:pPr>
        <w:pStyle w:val="BodyA"/>
        <w:spacing w:line="240" w:lineRule="auto"/>
      </w:pPr>
    </w:p>
    <w:p w:rsidR="00725871" w:rsidRDefault="00972067">
      <w:pPr>
        <w:pStyle w:val="BodyA"/>
        <w:spacing w:line="240" w:lineRule="auto"/>
      </w:pPr>
      <w:r>
        <w:rPr>
          <w:lang w:val="nl-NL"/>
        </w:rPr>
        <w:t xml:space="preserve">Plan International UK. (2017). </w:t>
      </w:r>
      <w:proofErr w:type="gramStart"/>
      <w:r>
        <w:rPr>
          <w:i/>
          <w:iCs/>
        </w:rPr>
        <w:t>Plan International UK's research on period poverty and stigma</w:t>
      </w:r>
      <w:r>
        <w:rPr>
          <w:lang w:val="pt-PT"/>
        </w:rPr>
        <w:t>.</w:t>
      </w:r>
      <w:proofErr w:type="gramEnd"/>
      <w:r>
        <w:rPr>
          <w:lang w:val="pt-PT"/>
        </w:rPr>
        <w:t xml:space="preserve"> [online]</w:t>
      </w:r>
      <w:r>
        <w:rPr>
          <w:rStyle w:val="Hyperlink0"/>
        </w:rPr>
        <w:t xml:space="preserve"> Ret</w:t>
      </w:r>
      <w:r>
        <w:rPr>
          <w:rStyle w:val="Hyperlink0"/>
        </w:rPr>
        <w:t>rieved from: https://plan-uk.org/media-centre/plan-international-uks-research-on-period-poverty-and-stigma [Accessed 21 Nov. 2018].</w:t>
      </w:r>
    </w:p>
    <w:p w:rsidR="00725871" w:rsidRDefault="00725871">
      <w:pPr>
        <w:pStyle w:val="BodyA"/>
        <w:spacing w:line="240" w:lineRule="auto"/>
      </w:pPr>
    </w:p>
    <w:p w:rsidR="00725871" w:rsidRDefault="00972067">
      <w:pPr>
        <w:pStyle w:val="BodyA"/>
        <w:spacing w:line="240" w:lineRule="auto"/>
      </w:pPr>
      <w:proofErr w:type="gramStart"/>
      <w:r>
        <w:t>Porter, M. and Kramer, M. (2011).</w:t>
      </w:r>
      <w:proofErr w:type="gramEnd"/>
      <w:r>
        <w:t xml:space="preserve"> Creating Shared Value: How to reinvent capitalism and unleash a wave of innovation and gr</w:t>
      </w:r>
      <w:r>
        <w:t xml:space="preserve">owth. </w:t>
      </w:r>
      <w:r>
        <w:rPr>
          <w:i/>
          <w:iCs/>
        </w:rPr>
        <w:t>Harvard Business Review</w:t>
      </w:r>
      <w:r>
        <w:t>, 89, pp.62 - 77.</w:t>
      </w:r>
    </w:p>
    <w:p w:rsidR="00725871" w:rsidRDefault="00725871">
      <w:pPr>
        <w:pStyle w:val="BodyA"/>
        <w:spacing w:line="240" w:lineRule="auto"/>
      </w:pPr>
    </w:p>
    <w:p w:rsidR="00725871" w:rsidRDefault="00972067">
      <w:pPr>
        <w:pStyle w:val="BodyA"/>
        <w:spacing w:line="240" w:lineRule="auto"/>
      </w:pPr>
      <w:proofErr w:type="gramStart"/>
      <w:r>
        <w:rPr>
          <w:rStyle w:val="Hyperlink0"/>
        </w:rPr>
        <w:t>Shared Value Initiative (2018).</w:t>
      </w:r>
      <w:proofErr w:type="gramEnd"/>
      <w:r>
        <w:rPr>
          <w:rStyle w:val="Hyperlink0"/>
        </w:rPr>
        <w:t xml:space="preserve"> </w:t>
      </w:r>
      <w:r>
        <w:rPr>
          <w:i/>
          <w:iCs/>
        </w:rPr>
        <w:t>About Shared Value | Shared Value Initiative</w:t>
      </w:r>
      <w:r>
        <w:rPr>
          <w:lang w:val="pt-PT"/>
        </w:rPr>
        <w:t xml:space="preserve">. [online] </w:t>
      </w:r>
      <w:r>
        <w:rPr>
          <w:rStyle w:val="Hyperlink0"/>
        </w:rPr>
        <w:t>R</w:t>
      </w:r>
      <w:r>
        <w:rPr>
          <w:rStyle w:val="Hyperlink0"/>
        </w:rPr>
        <w:t>e</w:t>
      </w:r>
      <w:r>
        <w:rPr>
          <w:rStyle w:val="Hyperlink0"/>
        </w:rPr>
        <w:t>trieved from: https://www.sharedvalue.org/about-shared-value [Accessed 28 Nov. 2018].</w:t>
      </w:r>
    </w:p>
    <w:p w:rsidR="00725871" w:rsidRDefault="00725871">
      <w:pPr>
        <w:pStyle w:val="BodyA"/>
        <w:spacing w:line="240" w:lineRule="auto"/>
      </w:pPr>
    </w:p>
    <w:p w:rsidR="00725871" w:rsidRDefault="00972067">
      <w:pPr>
        <w:pStyle w:val="BodyA"/>
        <w:spacing w:line="240" w:lineRule="auto"/>
      </w:pPr>
      <w:r>
        <w:rPr>
          <w:lang w:val="pt-PT"/>
        </w:rPr>
        <w:t xml:space="preserve">Soil Association. (n.d.). </w:t>
      </w:r>
      <w:r>
        <w:rPr>
          <w:i/>
          <w:iCs/>
          <w:lang w:val="it-IT"/>
        </w:rPr>
        <w:t>Organi</w:t>
      </w:r>
      <w:r>
        <w:rPr>
          <w:i/>
          <w:iCs/>
          <w:lang w:val="it-IT"/>
        </w:rPr>
        <w:t>c Cotton</w:t>
      </w:r>
      <w:r>
        <w:rPr>
          <w:lang w:val="pt-PT"/>
        </w:rPr>
        <w:t xml:space="preserve">. [online] </w:t>
      </w:r>
      <w:r>
        <w:rPr>
          <w:rStyle w:val="Hyperlink0"/>
        </w:rPr>
        <w:t>Retrieved from: https://www.soilassociation.org/organic-living/fashion-textiles/organic-cotton/ [Accessed 10 Dec. 2018].</w:t>
      </w:r>
    </w:p>
    <w:p w:rsidR="00725871" w:rsidRDefault="00725871">
      <w:pPr>
        <w:pStyle w:val="BodyA"/>
        <w:spacing w:line="240" w:lineRule="auto"/>
      </w:pPr>
    </w:p>
    <w:p w:rsidR="00725871" w:rsidRDefault="00972067">
      <w:pPr>
        <w:pStyle w:val="BodyA"/>
        <w:spacing w:line="240" w:lineRule="auto"/>
      </w:pPr>
      <w:proofErr w:type="gramStart"/>
      <w:r>
        <w:rPr>
          <w:rStyle w:val="Hyperlink0"/>
        </w:rPr>
        <w:t>Terra Choice (2009).</w:t>
      </w:r>
      <w:proofErr w:type="gramEnd"/>
      <w:r>
        <w:rPr>
          <w:rStyle w:val="Hyperlink0"/>
        </w:rPr>
        <w:t xml:space="preserve"> </w:t>
      </w:r>
      <w:r>
        <w:rPr>
          <w:i/>
          <w:iCs/>
        </w:rPr>
        <w:t>Environmental Claims in Consumer Markets Summary Report: North America</w:t>
      </w:r>
      <w:r>
        <w:rPr>
          <w:lang w:val="pt-PT"/>
        </w:rPr>
        <w:t>. [online] Terra Choice.</w:t>
      </w:r>
      <w:r>
        <w:rPr>
          <w:lang w:val="pt-PT"/>
        </w:rPr>
        <w:t xml:space="preserve"> </w:t>
      </w:r>
      <w:proofErr w:type="gramStart"/>
      <w:r>
        <w:rPr>
          <w:rStyle w:val="Hyperlink0"/>
        </w:rPr>
        <w:t>Retrieved from: http://sinsofgreenwashing.com/indexd49f.pdf [Accessed 28 Nov. 2018].</w:t>
      </w:r>
      <w:proofErr w:type="gramEnd"/>
    </w:p>
    <w:p w:rsidR="00725871" w:rsidRDefault="00725871">
      <w:pPr>
        <w:pStyle w:val="BodyA"/>
        <w:spacing w:line="240" w:lineRule="auto"/>
      </w:pPr>
    </w:p>
    <w:p w:rsidR="00725871" w:rsidRDefault="00972067">
      <w:pPr>
        <w:pStyle w:val="BodyA"/>
        <w:spacing w:line="240" w:lineRule="auto"/>
      </w:pPr>
      <w:proofErr w:type="gramStart"/>
      <w:r>
        <w:rPr>
          <w:rStyle w:val="Hyperlink0"/>
        </w:rPr>
        <w:t>United Nations.</w:t>
      </w:r>
      <w:proofErr w:type="gramEnd"/>
      <w:r>
        <w:rPr>
          <w:rStyle w:val="Hyperlink0"/>
        </w:rPr>
        <w:t xml:space="preserve"> [UN] </w:t>
      </w:r>
      <w:proofErr w:type="gramStart"/>
      <w:r>
        <w:rPr>
          <w:rStyle w:val="Hyperlink0"/>
        </w:rPr>
        <w:t>(</w:t>
      </w:r>
      <w:proofErr w:type="spellStart"/>
      <w:r>
        <w:rPr>
          <w:rStyle w:val="Hyperlink0"/>
        </w:rPr>
        <w:t>n.d.</w:t>
      </w:r>
      <w:proofErr w:type="spellEnd"/>
      <w:r>
        <w:rPr>
          <w:rStyle w:val="Hyperlink0"/>
        </w:rPr>
        <w:t>).</w:t>
      </w:r>
      <w:proofErr w:type="gramEnd"/>
      <w:r>
        <w:rPr>
          <w:rStyle w:val="Hyperlink0"/>
        </w:rPr>
        <w:t xml:space="preserve"> </w:t>
      </w:r>
      <w:proofErr w:type="gramStart"/>
      <w:r>
        <w:rPr>
          <w:i/>
          <w:iCs/>
        </w:rPr>
        <w:t>About the Sustainable Development Goals</w:t>
      </w:r>
      <w:r>
        <w:rPr>
          <w:lang w:val="pt-PT"/>
        </w:rPr>
        <w:t>.</w:t>
      </w:r>
      <w:proofErr w:type="gramEnd"/>
      <w:r>
        <w:rPr>
          <w:lang w:val="pt-PT"/>
        </w:rPr>
        <w:t xml:space="preserve"> [online]</w:t>
      </w:r>
      <w:r>
        <w:rPr>
          <w:rStyle w:val="Hyperlink0"/>
        </w:rPr>
        <w:t xml:space="preserve"> Retrieved from: https://www.un.org/sustainabledevelopment/sustainable-development-goals/ [</w:t>
      </w:r>
      <w:r>
        <w:rPr>
          <w:rStyle w:val="Hyperlink0"/>
        </w:rPr>
        <w:t>A</w:t>
      </w:r>
      <w:r>
        <w:rPr>
          <w:rStyle w:val="Hyperlink0"/>
        </w:rPr>
        <w:t>c</w:t>
      </w:r>
      <w:r>
        <w:rPr>
          <w:rStyle w:val="Hyperlink0"/>
        </w:rPr>
        <w:t>cessed 11 Dec. 2018].</w:t>
      </w:r>
    </w:p>
    <w:p w:rsidR="00725871" w:rsidRDefault="00725871">
      <w:pPr>
        <w:pStyle w:val="BodyA"/>
        <w:spacing w:line="240" w:lineRule="auto"/>
      </w:pPr>
    </w:p>
    <w:p w:rsidR="00725871" w:rsidRDefault="00972067">
      <w:pPr>
        <w:pStyle w:val="BodyA"/>
        <w:spacing w:line="240" w:lineRule="auto"/>
      </w:pPr>
      <w:r>
        <w:t xml:space="preserve">United Nations [UN] (2015). </w:t>
      </w:r>
      <w:proofErr w:type="gramStart"/>
      <w:r>
        <w:t>Transforming our world: the 2030 Agenda for Sustainable D</w:t>
      </w:r>
      <w:r>
        <w:t>e</w:t>
      </w:r>
      <w:r>
        <w:t>velopment.</w:t>
      </w:r>
      <w:proofErr w:type="gramEnd"/>
      <w:r>
        <w:t xml:space="preserve"> New York: United Nations, pp.1 - 30.</w:t>
      </w:r>
    </w:p>
    <w:p w:rsidR="00725871" w:rsidRDefault="00725871">
      <w:pPr>
        <w:pStyle w:val="BodyA"/>
        <w:spacing w:line="240" w:lineRule="auto"/>
      </w:pPr>
    </w:p>
    <w:p w:rsidR="00725871" w:rsidRDefault="00972067">
      <w:pPr>
        <w:pStyle w:val="BodyA"/>
        <w:spacing w:line="240" w:lineRule="auto"/>
      </w:pPr>
      <w:proofErr w:type="spellStart"/>
      <w:proofErr w:type="gramStart"/>
      <w:r>
        <w:rPr>
          <w:rStyle w:val="Hyperlink0"/>
        </w:rPr>
        <w:t>Vartan</w:t>
      </w:r>
      <w:proofErr w:type="spellEnd"/>
      <w:r>
        <w:rPr>
          <w:rStyle w:val="Hyperlink0"/>
        </w:rPr>
        <w:t>, S. (2015).</w:t>
      </w:r>
      <w:proofErr w:type="gramEnd"/>
      <w:r>
        <w:rPr>
          <w:rStyle w:val="Hyperlink0"/>
        </w:rPr>
        <w:t xml:space="preserve"> Why you should switch to reusable menstrual products. </w:t>
      </w:r>
      <w:r>
        <w:rPr>
          <w:i/>
          <w:iCs/>
        </w:rPr>
        <w:t>Mother Nature Network</w:t>
      </w:r>
      <w:r>
        <w:rPr>
          <w:lang w:val="pt-PT"/>
        </w:rPr>
        <w:t xml:space="preserve">. [online] </w:t>
      </w:r>
      <w:r>
        <w:rPr>
          <w:rStyle w:val="Hyperlink0"/>
        </w:rPr>
        <w:t>Retrieved from: https://www.mnn.com/health/fitness-well-being/blogs/why-you-should-switch-to-reusable-menstrual-products [Accessed 12 Dec. 2018].</w:t>
      </w:r>
    </w:p>
    <w:p w:rsidR="00725871" w:rsidRDefault="00725871">
      <w:pPr>
        <w:pStyle w:val="BodyA"/>
        <w:spacing w:line="240" w:lineRule="auto"/>
      </w:pPr>
    </w:p>
    <w:p w:rsidR="00725871" w:rsidRDefault="00972067">
      <w:pPr>
        <w:pStyle w:val="BodyA"/>
        <w:spacing w:line="240" w:lineRule="auto"/>
      </w:pPr>
      <w:proofErr w:type="gramStart"/>
      <w:r>
        <w:rPr>
          <w:rStyle w:val="Hyperlink0"/>
        </w:rPr>
        <w:t>Women's Environmental Network.</w:t>
      </w:r>
      <w:proofErr w:type="gramEnd"/>
      <w:r>
        <w:rPr>
          <w:rStyle w:val="Hyperlink0"/>
        </w:rPr>
        <w:t xml:space="preserve"> </w:t>
      </w:r>
      <w:proofErr w:type="gramStart"/>
      <w:r>
        <w:rPr>
          <w:rStyle w:val="Hyperlink0"/>
        </w:rPr>
        <w:t xml:space="preserve">(2018). </w:t>
      </w:r>
      <w:proofErr w:type="spellStart"/>
      <w:r>
        <w:rPr>
          <w:i/>
          <w:iCs/>
        </w:rPr>
        <w:t>Environmenstrual</w:t>
      </w:r>
      <w:proofErr w:type="spellEnd"/>
      <w:r>
        <w:rPr>
          <w:i/>
          <w:iCs/>
        </w:rPr>
        <w:t xml:space="preserve"> Campaign — Women's Env</w:t>
      </w:r>
      <w:r>
        <w:rPr>
          <w:i/>
          <w:iCs/>
        </w:rPr>
        <w:t>i</w:t>
      </w:r>
      <w:r>
        <w:rPr>
          <w:i/>
          <w:iCs/>
        </w:rPr>
        <w:t>ronmental Network</w:t>
      </w:r>
      <w:r>
        <w:rPr>
          <w:lang w:val="pt-PT"/>
        </w:rPr>
        <w:t>.</w:t>
      </w:r>
      <w:proofErr w:type="gramEnd"/>
      <w:r>
        <w:rPr>
          <w:lang w:val="pt-PT"/>
        </w:rPr>
        <w:t xml:space="preserve"> [online] </w:t>
      </w:r>
      <w:r>
        <w:rPr>
          <w:rStyle w:val="Hyperlink0"/>
        </w:rPr>
        <w:t>Retrieved from: https://www.wen.org.uk/environmenstrual-campaign/ [Accessed 12 Dec. 2018].</w:t>
      </w: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725871">
      <w:pPr>
        <w:pStyle w:val="BodyA"/>
        <w:spacing w:line="240" w:lineRule="auto"/>
      </w:pPr>
    </w:p>
    <w:p w:rsidR="00725871" w:rsidRDefault="00972067">
      <w:pPr>
        <w:pStyle w:val="Heading"/>
      </w:pPr>
      <w:bookmarkStart w:id="23" w:name="_Toc22"/>
      <w:r>
        <w:rPr>
          <w:rFonts w:eastAsia="Arial Unicode MS" w:cs="Arial Unicode MS"/>
        </w:rPr>
        <w:lastRenderedPageBreak/>
        <w:t xml:space="preserve">6.0 Appendices </w:t>
      </w:r>
      <w:bookmarkEnd w:id="23"/>
    </w:p>
    <w:p w:rsidR="00725871" w:rsidRDefault="00972067">
      <w:pPr>
        <w:pStyle w:val="BodyA"/>
        <w:rPr>
          <w:b/>
          <w:bCs/>
        </w:rPr>
      </w:pPr>
      <w:r>
        <w:rPr>
          <w:b/>
          <w:bCs/>
        </w:rPr>
        <w:t xml:space="preserve">Appendix 1: Feminine Hygiene &amp; Sanitary Protection Industry Analysis </w:t>
      </w:r>
    </w:p>
    <w:p w:rsidR="00725871" w:rsidRDefault="00972067">
      <w:pPr>
        <w:pStyle w:val="BodyA"/>
      </w:pPr>
      <w:r>
        <w:rPr>
          <w:b/>
          <w:bCs/>
          <w:noProof/>
          <w:lang w:val="en-GB"/>
        </w:rPr>
        <mc:AlternateContent>
          <mc:Choice Requires="wpg">
            <w:drawing>
              <wp:anchor distT="152400" distB="152400" distL="152400" distR="152400" simplePos="0" relativeHeight="251675648" behindDoc="0" locked="0" layoutInCell="1" allowOverlap="1">
                <wp:simplePos x="0" y="0"/>
                <wp:positionH relativeFrom="margin">
                  <wp:posOffset>-228415</wp:posOffset>
                </wp:positionH>
                <wp:positionV relativeFrom="line">
                  <wp:posOffset>329381</wp:posOffset>
                </wp:positionV>
                <wp:extent cx="6648897" cy="5227867"/>
                <wp:effectExtent l="0" t="0" r="0" b="0"/>
                <wp:wrapTopAndBottom distT="152400" distB="152400"/>
                <wp:docPr id="1073741855" name="officeArt object"/>
                <wp:cNvGraphicFramePr/>
                <a:graphic xmlns:a="http://schemas.openxmlformats.org/drawingml/2006/main">
                  <a:graphicData uri="http://schemas.microsoft.com/office/word/2010/wordprocessingGroup">
                    <wpg:wgp>
                      <wpg:cNvGrpSpPr/>
                      <wpg:grpSpPr>
                        <a:xfrm>
                          <a:off x="0" y="0"/>
                          <a:ext cx="6648897" cy="5227867"/>
                          <a:chOff x="-25173" y="-25173"/>
                          <a:chExt cx="6648896" cy="5227866"/>
                        </a:xfrm>
                      </wpg:grpSpPr>
                      <wps:wsp>
                        <wps:cNvPr id="1073741853" name="Shape 1073741853"/>
                        <wps:cNvSpPr/>
                        <wps:spPr>
                          <a:xfrm>
                            <a:off x="-25173" y="-25173"/>
                            <a:ext cx="6628764" cy="4907914"/>
                          </a:xfrm>
                          <a:prstGeom prst="rect">
                            <a:avLst/>
                          </a:prstGeom>
                        </wps:spPr>
                        <wps:txbx>
                          <w:txbxContent>
                            <w:tbl>
                              <w:tblPr>
                                <w:tblW w:w="103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052"/>
                                <w:gridCol w:w="712"/>
                                <w:gridCol w:w="544"/>
                                <w:gridCol w:w="712"/>
                                <w:gridCol w:w="544"/>
                                <w:gridCol w:w="1111"/>
                                <w:gridCol w:w="544"/>
                                <w:gridCol w:w="1153"/>
                              </w:tblGrid>
                              <w:tr w:rsidR="00725871">
                                <w:trPr>
                                  <w:trHeight w:val="248"/>
                                </w:trPr>
                                <w:tc>
                                  <w:tcPr>
                                    <w:tcW w:w="504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972067">
                                    <w:pPr>
                                      <w:pStyle w:val="TableStyle1"/>
                                    </w:pPr>
                                    <w:r>
                                      <w:t>Feminine Hygiene and Sanitary Protection Products</w:t>
                                    </w:r>
                                    <w:r>
                                      <w:t xml:space="preserve"> - UK - January 2018 - Market Segmentation</w:t>
                                    </w:r>
                                  </w:p>
                                </w:tc>
                                <w:tc>
                                  <w:tcPr>
                                    <w:tcW w:w="71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r>
                              <w:tr w:rsidR="00725871">
                                <w:tblPrEx>
                                  <w:shd w:val="clear" w:color="auto" w:fill="auto"/>
                                </w:tblPrEx>
                                <w:trPr>
                                  <w:trHeight w:val="730"/>
                                </w:trPr>
                                <w:tc>
                                  <w:tcPr>
                                    <w:tcW w:w="5049"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xml:space="preserve">UK retail value sales of feminine hygiene, </w:t>
                                    </w:r>
                                  </w:p>
                                  <w:p w:rsidR="00725871" w:rsidRDefault="00972067">
                                    <w:pPr>
                                      <w:pStyle w:val="TableStyle1"/>
                                    </w:pPr>
                                    <w:r>
                                      <w:t xml:space="preserve">sanitary protection and adult incontinence </w:t>
                                    </w:r>
                                  </w:p>
                                  <w:p w:rsidR="00725871" w:rsidRDefault="00972067">
                                    <w:pPr>
                                      <w:pStyle w:val="TableStyle1"/>
                                    </w:pPr>
                                    <w:r>
                                      <w:t>products, 2015-17</w:t>
                                    </w:r>
                                  </w:p>
                                </w:tc>
                                <w:tc>
                                  <w:tcPr>
                                    <w:tcW w:w="712"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2015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2016</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2017 (</w:t>
                                    </w:r>
                                    <w:proofErr w:type="spellStart"/>
                                    <w:r>
                                      <w:t>est</w:t>
                                    </w:r>
                                    <w:proofErr w:type="spellEnd"/>
                                    <w:r>
                                      <w:t>)</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 change</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r>
                                      <w:t>m</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r>
                                      <w:t>m</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r>
                                      <w:t>m</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2016-17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Sanitary protection</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278.1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64</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271.5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61</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265.8</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59</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-2.1</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Sanitary towels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143.1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33</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140.5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32</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138.2</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30</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Tampons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80.9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19</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79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18</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77.1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17</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Panty liners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53.9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12</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51.9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12</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50.4</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11</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Others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0.2</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-16.5</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Incontinence products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130.7</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30</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147.9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33</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163.9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36</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10.8</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xml:space="preserve">Feminine </w:t>
                                    </w:r>
                                    <w:r>
                                      <w:t>hygiene</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22.5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23.6</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23.4</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Total</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431.2</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100</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443</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100</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453.1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100</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Note: totals may not equal 100 due to rounding</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Source: based on IRI/Mintel</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bl>
                            <w:p w:rsidR="00000000" w:rsidRDefault="00972067"/>
                          </w:txbxContent>
                        </wps:txbx>
                        <wps:bodyPr lIns="0" tIns="0" rIns="0" bIns="0">
                          <a:spAutoFit/>
                        </wps:bodyPr>
                      </wps:wsp>
                      <wps:wsp>
                        <wps:cNvPr id="1073741854" name="Shape 1073741854"/>
                        <wps:cNvSpPr txBox="1"/>
                        <wps:spPr>
                          <a:xfrm>
                            <a:off x="315688" y="4437022"/>
                            <a:ext cx="6308035" cy="765671"/>
                          </a:xfrm>
                          <a:prstGeom prst="rect">
                            <a:avLst/>
                          </a:prstGeom>
                          <a:noFill/>
                          <a:ln w="12700" cap="flat">
                            <a:noFill/>
                            <a:miter lim="400000"/>
                          </a:ln>
                          <a:effectLst/>
                        </wps:spPr>
                        <wps:txbx>
                          <w:txbxContent>
                            <w:p w:rsidR="00725871" w:rsidRDefault="00972067">
                              <w:pPr>
                                <w:pStyle w:val="Body"/>
                                <w:spacing w:line="480" w:lineRule="auto"/>
                                <w:jc w:val="right"/>
                              </w:pPr>
                              <w:r>
                                <w:rPr>
                                  <w:rFonts w:ascii="Arial" w:hAnsi="Arial"/>
                                  <w:b/>
                                  <w:bCs/>
                                </w:rPr>
                                <w:t>Figure 1: Market Segmentation of Feminine Hygiene &amp; Sanitary Protection</w:t>
                              </w:r>
                              <w:r>
                                <w:rPr>
                                  <w:rFonts w:ascii="Arial" w:hAnsi="Arial"/>
                                  <w:b/>
                                  <w:bCs/>
                                </w:rPr>
                                <w:t xml:space="preserve"> industry (Mintel, 2017)</w:t>
                              </w:r>
                            </w:p>
                          </w:txbxContent>
                        </wps:txbx>
                        <wps:bodyPr wrap="square" lIns="50800" tIns="50800" rIns="50800" bIns="50800" numCol="1" anchor="t">
                          <a:noAutofit/>
                        </wps:bodyPr>
                      </wps:wsp>
                    </wpg:wgp>
                  </a:graphicData>
                </a:graphic>
              </wp:anchor>
            </w:drawing>
          </mc:Choice>
          <mc:Fallback>
            <w:pict>
              <v:group id="_x0000_s1051" style="position:absolute;left:0;text-align:left;margin-left:-18pt;margin-top:25.95pt;width:523.55pt;height:411.65pt;z-index:251675648;mso-wrap-distance-left:12pt;mso-wrap-distance-top:12pt;mso-wrap-distance-right:12pt;mso-wrap-distance-bottom:12pt;mso-position-horizontal-relative:margin;mso-position-vertical-relative:line" coordorigin="-251,-251" coordsize="66488,5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">
                <v:rect id="Shape 1073741853" o:spid="_x0000_s1052" style="position:absolute;left:-251;top:-251;width:66286;height:49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94BsoA&#10;AADjAAAADwAAAGRycy9kb3ducmV2LnhtbERPS2vCQBC+F/oflin0UurGV43RVYog9FAoxh7qbciO&#10;2bTZ2ZBdTeqvdwtCj/O9Z7nubS3O1PrKsYLhIAFBXDhdcangc799TkH4gKyxdkwKfsnDenV/t8RM&#10;u453dM5DKWII+wwVmBCaTEpfGLLoB64hjtzRtRZDPNtS6ha7GG5rOUqSF2mx4thgsKGNoeInP1kF&#10;24+vivgid0/ztHPfxeiQm/dGqceH/nUBIlAf/sU395uO85PZeDYZptMx/P0UAZCr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efeAbKAAAA4wAAAA8AAAAAAAAAAAAAAAAAmAIA&#10;AGRycy9kb3ducmV2LnhtbFBLBQYAAAAABAAEAPUAAACPAwAAAAA=&#10;" filled="f" stroked="f">
                  <v:textbox style="mso-fit-shape-to-text:t" inset="0,0,0,0">
                    <w:txbxContent>
                      <w:tbl>
                        <w:tblPr>
                          <w:tblW w:w="103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052"/>
                          <w:gridCol w:w="712"/>
                          <w:gridCol w:w="544"/>
                          <w:gridCol w:w="712"/>
                          <w:gridCol w:w="544"/>
                          <w:gridCol w:w="1111"/>
                          <w:gridCol w:w="544"/>
                          <w:gridCol w:w="1153"/>
                        </w:tblGrid>
                        <w:tr w:rsidR="00725871">
                          <w:trPr>
                            <w:trHeight w:val="248"/>
                          </w:trPr>
                          <w:tc>
                            <w:tcPr>
                              <w:tcW w:w="504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972067">
                              <w:pPr>
                                <w:pStyle w:val="TableStyle1"/>
                              </w:pPr>
                              <w:r>
                                <w:t>Feminine Hygiene and Sanitary Protection Products</w:t>
                              </w:r>
                              <w:r>
                                <w:t xml:space="preserve"> - UK - January 2018 - Market Segmentation</w:t>
                              </w:r>
                            </w:p>
                          </w:tc>
                          <w:tc>
                            <w:tcPr>
                              <w:tcW w:w="71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rsidR="00725871" w:rsidRDefault="00725871"/>
                          </w:tc>
                        </w:tr>
                        <w:tr w:rsidR="00725871">
                          <w:tblPrEx>
                            <w:shd w:val="clear" w:color="auto" w:fill="auto"/>
                          </w:tblPrEx>
                          <w:trPr>
                            <w:trHeight w:val="730"/>
                          </w:trPr>
                          <w:tc>
                            <w:tcPr>
                              <w:tcW w:w="5049"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xml:space="preserve">UK retail value sales of feminine hygiene, </w:t>
                              </w:r>
                            </w:p>
                            <w:p w:rsidR="00725871" w:rsidRDefault="00972067">
                              <w:pPr>
                                <w:pStyle w:val="TableStyle1"/>
                              </w:pPr>
                              <w:r>
                                <w:t xml:space="preserve">sanitary protection and adult incontinence </w:t>
                              </w:r>
                            </w:p>
                            <w:p w:rsidR="00725871" w:rsidRDefault="00972067">
                              <w:pPr>
                                <w:pStyle w:val="TableStyle1"/>
                              </w:pPr>
                              <w:r>
                                <w:t>products, 2015-17</w:t>
                              </w:r>
                            </w:p>
                          </w:tc>
                          <w:tc>
                            <w:tcPr>
                              <w:tcW w:w="712"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2015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2016</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2017 (</w:t>
                              </w:r>
                              <w:proofErr w:type="spellStart"/>
                              <w:r>
                                <w:t>est</w:t>
                              </w:r>
                              <w:proofErr w:type="spellEnd"/>
                              <w:r>
                                <w:t>)</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 change</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r>
                                <w:t>m</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r>
                                <w:t>m</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r>
                                <w:t>m</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2016-17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Sanitary protection</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278.1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64</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271.5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61</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265.8</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59</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-2.1</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Sanitary towels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143.1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33</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140.5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32</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138.2</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30</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Tampons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80.9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19</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79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18</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77.1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17</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Panty liners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53.9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12</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51.9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12</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50.4</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11</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Others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0.2</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pStyle w:val="TableStyle2"/>
                              </w:pPr>
                              <w:r>
                                <w:t>-</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-16.5</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Incontinence products</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130.7</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30</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147.9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33</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163.9</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36</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10.8</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 xml:space="preserve">Feminine </w:t>
                              </w:r>
                              <w:r>
                                <w:t>hygiene</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22.5</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23.6</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23.4</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5</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-0.7</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Total</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431.2</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100</w:t>
                              </w:r>
                            </w:p>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443</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100</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453.1</w:t>
                              </w: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100</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972067">
                              <w:pPr>
                                <w:jc w:val="right"/>
                              </w:pPr>
                              <w:r>
                                <w:rPr>
                                  <w:rFonts w:ascii="Helvetica Neue" w:hAnsi="Helvetica Neue" w:cs="Arial Unicode MS"/>
                                  <w:color w:val="000000"/>
                                  <w:sz w:val="20"/>
                                  <w:szCs w:val="20"/>
                                </w:rPr>
                                <w:t>2.3</w:t>
                              </w:r>
                            </w:p>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725871"/>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Note: totals may not equal 100 due to rounding</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r w:rsidR="00725871">
                          <w:tblPrEx>
                            <w:shd w:val="clear" w:color="auto" w:fill="auto"/>
                          </w:tblPrEx>
                          <w:trPr>
                            <w:trHeight w:val="244"/>
                          </w:trPr>
                          <w:tc>
                            <w:tcPr>
                              <w:tcW w:w="5049"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725871" w:rsidRDefault="00972067">
                              <w:pPr>
                                <w:pStyle w:val="TableStyle1"/>
                              </w:pPr>
                              <w:r>
                                <w:t>Source: based on IRI/Mintel</w:t>
                              </w:r>
                            </w:p>
                          </w:tc>
                          <w:tc>
                            <w:tcPr>
                              <w:tcW w:w="71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5871" w:rsidRDefault="00725871"/>
                          </w:tc>
                        </w:tr>
                      </w:tbl>
                      <w:p w:rsidR="00000000" w:rsidRDefault="00972067"/>
                    </w:txbxContent>
                  </v:textbox>
                </v:rect>
                <v:shapetype id="_x0000_t202" coordsize="21600,21600" o:spt="202" path="m,l,21600r21600,l21600,xe">
                  <v:stroke joinstyle="miter"/>
                  <v:path gradientshapeok="t" o:connecttype="rect"/>
                </v:shapetype>
                <v:shape id="Shape 1073741854" o:spid="_x0000_s1053" type="#_x0000_t202" style="position:absolute;left:3156;top:44370;width:63081;height:7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GbcoA&#10;AADjAAAADwAAAGRycy9kb3ducmV2LnhtbERPS2sCMRC+F/ofwhR6q1lb62NrFBFKLXjwie1t2Ex3&#10;YzeTZZOu679vBMHjfO8ZT1tbioZqbxwr6HYSEMSZ04ZzBbvt+9MQhA/IGkvHpOBMHqaT+7sxptqd&#10;eE3NJuQihrBPUUERQpVK6bOCLPqOq4gj9+NqiyGedS51jacYbkv5nCR9adFwbCiwonlB2e/mzyro&#10;N6Pjl9T7w2qN++Wn+TaLj+NZqceHdvYGIlAbbuKre6Hj/GTwMuh1h689uPwUAZCT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xsxm3KAAAA4wAAAA8AAAAAAAAAAAAAAAAAmAIA&#10;AGRycy9kb3ducmV2LnhtbFBLBQYAAAAABAAEAPUAAACPAwAAAAA=&#10;" filled="f" stroked="f" strokeweight="1pt">
                  <v:stroke miterlimit="4"/>
                  <v:textbox inset="4pt,4pt,4pt,4pt">
                    <w:txbxContent>
                      <w:p w:rsidR="00725871" w:rsidRDefault="00972067">
                        <w:pPr>
                          <w:pStyle w:val="Body"/>
                          <w:spacing w:line="480" w:lineRule="auto"/>
                          <w:jc w:val="right"/>
                        </w:pPr>
                        <w:r>
                          <w:rPr>
                            <w:rFonts w:ascii="Arial" w:hAnsi="Arial"/>
                            <w:b/>
                            <w:bCs/>
                          </w:rPr>
                          <w:t>Figure 1: Market Segmentation of Feminine Hygiene &amp; Sanitary Protection</w:t>
                        </w:r>
                        <w:r>
                          <w:rPr>
                            <w:rFonts w:ascii="Arial" w:hAnsi="Arial"/>
                            <w:b/>
                            <w:bCs/>
                          </w:rPr>
                          <w:t xml:space="preserve"> industry (Mintel, 2017)</w:t>
                        </w:r>
                      </w:p>
                    </w:txbxContent>
                  </v:textbox>
                </v:shape>
                <w10:wrap type="topAndBottom" anchorx="margin" anchory="line"/>
              </v:group>
            </w:pict>
          </mc:Fallback>
        </mc:AlternateContent>
      </w:r>
    </w:p>
    <w:p w:rsidR="00725871" w:rsidRDefault="00972067">
      <w:pPr>
        <w:pStyle w:val="BodyA"/>
      </w:pPr>
      <w:r>
        <w:rPr>
          <w:rFonts w:ascii="Arial Unicode MS" w:hAnsi="Arial Unicode MS"/>
        </w:rPr>
        <w:br w:type="page"/>
      </w:r>
    </w:p>
    <w:p w:rsidR="00725871" w:rsidRDefault="00972067">
      <w:pPr>
        <w:pStyle w:val="BodyA"/>
        <w:rPr>
          <w:b/>
          <w:bCs/>
        </w:rPr>
      </w:pPr>
      <w:r>
        <w:rPr>
          <w:b/>
          <w:bCs/>
        </w:rPr>
        <w:lastRenderedPageBreak/>
        <w:t>Appendix 2: Creating Shared Value (Porter &amp; Kramer, 2011)</w:t>
      </w:r>
    </w:p>
    <w:p w:rsidR="00725871" w:rsidRDefault="00972067">
      <w:pPr>
        <w:pStyle w:val="BodyA"/>
      </w:pPr>
      <w:r>
        <w:t>Figure 2 outlines the core principles of Creating Shared Value from Porter and Kra</w:t>
      </w:r>
      <w:r>
        <w:rPr>
          <w:noProof/>
          <w:lang w:val="en-GB"/>
        </w:rPr>
        <mc:AlternateContent>
          <mc:Choice Requires="wpg">
            <w:drawing>
              <wp:anchor distT="152400" distB="152400" distL="152400" distR="152400" simplePos="0" relativeHeight="251674624" behindDoc="0" locked="0" layoutInCell="1" allowOverlap="1">
                <wp:simplePos x="0" y="0"/>
                <wp:positionH relativeFrom="page">
                  <wp:posOffset>548920</wp:posOffset>
                </wp:positionH>
                <wp:positionV relativeFrom="page">
                  <wp:posOffset>2432245</wp:posOffset>
                </wp:positionV>
                <wp:extent cx="6480863" cy="2723464"/>
                <wp:effectExtent l="0" t="0" r="0" b="0"/>
                <wp:wrapNone/>
                <wp:docPr id="1073741861" name="officeArt object"/>
                <wp:cNvGraphicFramePr/>
                <a:graphic xmlns:a="http://schemas.openxmlformats.org/drawingml/2006/main">
                  <a:graphicData uri="http://schemas.microsoft.com/office/word/2010/wordprocessingGroup">
                    <wpg:wgp>
                      <wpg:cNvGrpSpPr/>
                      <wpg:grpSpPr>
                        <a:xfrm>
                          <a:off x="0" y="0"/>
                          <a:ext cx="6480863" cy="2723464"/>
                          <a:chOff x="12700" y="-154771"/>
                          <a:chExt cx="6480862" cy="2723463"/>
                        </a:xfrm>
                      </wpg:grpSpPr>
                      <wps:wsp>
                        <wps:cNvPr id="1073741859" name="Shape 1073741859"/>
                        <wps:cNvSpPr txBox="1"/>
                        <wps:spPr>
                          <a:xfrm>
                            <a:off x="12700" y="2092118"/>
                            <a:ext cx="6468627" cy="476574"/>
                          </a:xfrm>
                          <a:prstGeom prst="rect">
                            <a:avLst/>
                          </a:prstGeom>
                          <a:noFill/>
                          <a:ln w="12700" cap="flat">
                            <a:noFill/>
                            <a:miter lim="400000"/>
                          </a:ln>
                          <a:effectLst/>
                        </wps:spPr>
                        <wps:txbx>
                          <w:txbxContent>
                            <w:p w:rsidR="00725871" w:rsidRDefault="00972067">
                              <w:pPr>
                                <w:pStyle w:val="Body"/>
                                <w:spacing w:line="480" w:lineRule="auto"/>
                                <w:jc w:val="right"/>
                              </w:pPr>
                              <w:r>
                                <w:rPr>
                                  <w:rFonts w:ascii="Arial" w:hAnsi="Arial"/>
                                  <w:b/>
                                  <w:bCs/>
                                </w:rPr>
                                <w:t>Figure 2: Levels of Creating Shared Value (Adapted from Porter &amp; Kramer, 2011)</w:t>
                              </w:r>
                            </w:p>
                          </w:txbxContent>
                        </wps:txbx>
                        <wps:bodyPr wrap="square" lIns="50800" tIns="50800" rIns="50800" bIns="50800" numCol="1" anchor="t">
                          <a:noAutofit/>
                        </wps:bodyPr>
                      </wps:wsp>
                      <wps:wsp>
                        <wps:cNvPr id="1073741860" name="Shape 1073741860"/>
                        <wps:cNvSpPr/>
                        <wps:spPr>
                          <a:xfrm>
                            <a:off x="101653" y="-154771"/>
                            <a:ext cx="6391909" cy="2282824"/>
                          </a:xfrm>
                          <a:prstGeom prst="rect">
                            <a:avLst/>
                          </a:prstGeom>
                        </wps:spPr>
                        <wps:txbx>
                          <w:txbxContent>
                            <w:tbl>
                              <w:tblPr>
                                <w:tblW w:w="10026" w:type="dxa"/>
                                <w:tblInd w:w="20" w:type="dxa"/>
                                <w:tblBorders>
                                  <w:top w:val="single" w:sz="2" w:space="0" w:color="000000"/>
                                  <w:left w:val="single" w:sz="2" w:space="0" w:color="000000"/>
                                  <w:bottom w:val="single" w:sz="2" w:space="0" w:color="000000"/>
                                  <w:right w:val="single" w:sz="2" w:space="0" w:color="000000"/>
                                  <w:insideH w:val="single" w:sz="16" w:space="0" w:color="000000"/>
                                  <w:insideV w:val="single" w:sz="16" w:space="0" w:color="000000"/>
                                </w:tblBorders>
                                <w:shd w:val="clear" w:color="auto" w:fill="BDC0BF"/>
                                <w:tblLayout w:type="fixed"/>
                                <w:tblLook w:val="04A0" w:firstRow="1" w:lastRow="0" w:firstColumn="1" w:lastColumn="0" w:noHBand="0" w:noVBand="1"/>
                              </w:tblPr>
                              <w:tblGrid>
                                <w:gridCol w:w="3342"/>
                                <w:gridCol w:w="3342"/>
                                <w:gridCol w:w="3342"/>
                              </w:tblGrid>
                              <w:tr w:rsidR="00725871">
                                <w:trPr>
                                  <w:trHeight w:hRule="exact" w:val="473"/>
                                  <w:tblHeader/>
                                </w:trPr>
                                <w:tc>
                                  <w:tcPr>
                                    <w:tcW w:w="10026" w:type="dxa"/>
                                    <w:gridSpan w:val="3"/>
                                    <w:tcBorders>
                                      <w:top w:val="single" w:sz="16" w:space="0" w:color="000000"/>
                                      <w:left w:val="single" w:sz="16" w:space="0" w:color="000000"/>
                                      <w:bottom w:val="single" w:sz="16" w:space="0" w:color="000000"/>
                                      <w:right w:val="single" w:sz="16" w:space="0" w:color="000000"/>
                                    </w:tcBorders>
                                    <w:shd w:val="clear" w:color="auto" w:fill="56C1FE"/>
                                    <w:tcMar>
                                      <w:top w:w="80" w:type="dxa"/>
                                      <w:left w:w="80" w:type="dxa"/>
                                      <w:bottom w:w="80" w:type="dxa"/>
                                      <w:right w:w="80" w:type="dxa"/>
                                    </w:tcMar>
                                    <w:vAlign w:val="center"/>
                                  </w:tcPr>
                                  <w:p w:rsidR="00725871" w:rsidRDefault="00972067">
                                    <w:pPr>
                                      <w:pStyle w:val="TableStyle1"/>
                                      <w:jc w:val="center"/>
                                    </w:pPr>
                                    <w:r>
                                      <w:rPr>
                                        <w:color w:val="FEFEFE"/>
                                        <w:sz w:val="30"/>
                                        <w:szCs w:val="30"/>
                                      </w:rPr>
                                      <w:t>Creating Shared Value</w:t>
                                    </w:r>
                                  </w:p>
                                </w:tc>
                              </w:tr>
                              <w:tr w:rsidR="00725871">
                                <w:tblPrEx>
                                  <w:shd w:val="clear" w:color="auto" w:fill="auto"/>
                                </w:tblPrEx>
                                <w:trPr>
                                  <w:trHeight w:hRule="exact" w:val="538"/>
                                </w:trPr>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rsidR="00725871" w:rsidRDefault="00972067">
                                    <w:pPr>
                                      <w:pStyle w:val="TableStyle2"/>
                                      <w:jc w:val="center"/>
                                    </w:pPr>
                                    <w:r>
                                      <w:rPr>
                                        <w:b/>
                                        <w:bCs/>
                                      </w:rPr>
                                      <w:t>Reconceiving Products &amp; Markets</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rsidR="00725871" w:rsidRDefault="00972067">
                                    <w:pPr>
                                      <w:pStyle w:val="TableStyle2"/>
                                      <w:jc w:val="center"/>
                                    </w:pPr>
                                    <w:r>
                                      <w:rPr>
                                        <w:b/>
                                        <w:bCs/>
                                      </w:rPr>
                                      <w:t xml:space="preserve">Redefining Productivity in the Value Chain </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rsidR="00725871" w:rsidRDefault="00972067">
                                    <w:pPr>
                                      <w:pStyle w:val="TableStyle2"/>
                                      <w:jc w:val="center"/>
                                    </w:pPr>
                                    <w:r>
                                      <w:rPr>
                                        <w:b/>
                                        <w:bCs/>
                                      </w:rPr>
                                      <w:t xml:space="preserve">Enabling Local Cluster Development </w:t>
                                    </w:r>
                                  </w:p>
                                </w:tc>
                              </w:tr>
                              <w:tr w:rsidR="00725871">
                                <w:tblPrEx>
                                  <w:shd w:val="clear" w:color="auto" w:fill="auto"/>
                                </w:tblPrEx>
                                <w:trPr>
                                  <w:trHeight w:hRule="exact" w:val="2028"/>
                                </w:trPr>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725871" w:rsidRDefault="00972067">
                                    <w:pPr>
                                      <w:pStyle w:val="TableStyle2"/>
                                      <w:numPr>
                                        <w:ilvl w:val="0"/>
                                        <w:numId w:val="3"/>
                                      </w:numPr>
                                      <w:spacing w:before="100" w:after="100"/>
                                      <w:rPr>
                                        <w:lang w:val="en-US"/>
                                      </w:rPr>
                                    </w:pPr>
                                    <w:r>
                                      <w:rPr>
                                        <w:lang w:val="en-US"/>
                                      </w:rPr>
                                      <w:t>Meeting needs of society through products and services</w:t>
                                    </w:r>
                                  </w:p>
                                  <w:p w:rsidR="00725871" w:rsidRDefault="00972067">
                                    <w:pPr>
                                      <w:pStyle w:val="TableStyle2"/>
                                      <w:numPr>
                                        <w:ilvl w:val="0"/>
                                        <w:numId w:val="3"/>
                                      </w:numPr>
                                      <w:spacing w:before="100" w:after="100"/>
                                      <w:rPr>
                                        <w:lang w:val="en-US"/>
                                      </w:rPr>
                                    </w:pPr>
                                    <w:r>
                                      <w:rPr>
                                        <w:lang w:val="en-US"/>
                                      </w:rPr>
                                      <w:t>Addressing needs of unserved or undeserved customers or markets</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725871" w:rsidRDefault="00972067">
                                    <w:pPr>
                                      <w:pStyle w:val="TableStyle2"/>
                                      <w:numPr>
                                        <w:ilvl w:val="0"/>
                                        <w:numId w:val="4"/>
                                      </w:numPr>
                                    </w:pPr>
                                    <w:r>
                                      <w:rPr>
                                        <w:rFonts w:eastAsia="Arial Unicode MS" w:cs="Arial Unicode MS"/>
                                        <w:lang w:val="en-US"/>
                                      </w:rPr>
                                      <w:t>Innovation in business operations to address needs of society</w:t>
                                    </w:r>
                                  </w:p>
                                  <w:p w:rsidR="00725871" w:rsidRDefault="00972067">
                                    <w:pPr>
                                      <w:pStyle w:val="TableStyle2"/>
                                      <w:numPr>
                                        <w:ilvl w:val="0"/>
                                        <w:numId w:val="4"/>
                                      </w:numPr>
                                      <w:spacing w:before="100" w:after="100"/>
                                      <w:rPr>
                                        <w:lang w:val="en-US"/>
                                      </w:rPr>
                                    </w:pPr>
                                    <w:proofErr w:type="spellStart"/>
                                    <w:r>
                                      <w:rPr>
                                        <w:lang w:val="en-US"/>
                                      </w:rPr>
                                      <w:t>Utilising</w:t>
                                    </w:r>
                                    <w:proofErr w:type="spellEnd"/>
                                    <w:r>
                                      <w:rPr>
                                        <w:lang w:val="en-US"/>
                                      </w:rPr>
                                      <w:t>; resources, logistics, ene</w:t>
                                    </w:r>
                                    <w:r>
                                      <w:rPr>
                                        <w:lang w:val="en-US"/>
                                      </w:rPr>
                                      <w:t>r</w:t>
                                    </w:r>
                                    <w:r>
                                      <w:rPr>
                                        <w:lang w:val="en-US"/>
                                      </w:rPr>
                                      <w:t>gy, suppliers, distribution and e</w:t>
                                    </w:r>
                                    <w:r>
                                      <w:rPr>
                                        <w:lang w:val="en-US"/>
                                      </w:rPr>
                                      <w:t>m</w:t>
                                    </w:r>
                                    <w:r>
                                      <w:rPr>
                                        <w:lang w:val="en-US"/>
                                      </w:rPr>
                                      <w:t xml:space="preserve">ployees more effectively to reshape the value chain in </w:t>
                                    </w:r>
                                    <w:proofErr w:type="spellStart"/>
                                    <w:r>
                                      <w:rPr>
                                        <w:lang w:val="en-US"/>
                                      </w:rPr>
                                      <w:t>favour</w:t>
                                    </w:r>
                                    <w:proofErr w:type="spellEnd"/>
                                    <w:r>
                                      <w:rPr>
                                        <w:lang w:val="en-US"/>
                                      </w:rPr>
                                      <w:t xml:space="preserve"> of societal needs.</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725871" w:rsidRDefault="00972067">
                                    <w:pPr>
                                      <w:pStyle w:val="TableStyle2"/>
                                      <w:numPr>
                                        <w:ilvl w:val="0"/>
                                        <w:numId w:val="5"/>
                                      </w:numPr>
                                      <w:spacing w:before="100" w:after="100"/>
                                      <w:rPr>
                                        <w:lang w:val="en-US"/>
                                      </w:rPr>
                                    </w:pPr>
                                    <w:r>
                                      <w:rPr>
                                        <w:lang w:val="en-US"/>
                                      </w:rPr>
                                      <w:t>Improving the infrastructure and i</w:t>
                                    </w:r>
                                    <w:r>
                                      <w:rPr>
                                        <w:lang w:val="en-US"/>
                                      </w:rPr>
                                      <w:t>n</w:t>
                                    </w:r>
                                    <w:r>
                                      <w:rPr>
                                        <w:lang w:val="en-US"/>
                                      </w:rPr>
                                      <w:t>stituti</w:t>
                                    </w:r>
                                    <w:r>
                                      <w:rPr>
                                        <w:lang w:val="en-US"/>
                                      </w:rPr>
                                      <w:t>ons that affects business oper</w:t>
                                    </w:r>
                                    <w:r>
                                      <w:rPr>
                                        <w:lang w:val="en-US"/>
                                      </w:rPr>
                                      <w:t>a</w:t>
                                    </w:r>
                                    <w:r>
                                      <w:rPr>
                                        <w:lang w:val="en-US"/>
                                      </w:rPr>
                                      <w:t>tions</w:t>
                                    </w:r>
                                  </w:p>
                                  <w:p w:rsidR="00725871" w:rsidRDefault="00972067">
                                    <w:pPr>
                                      <w:pStyle w:val="TableStyle2"/>
                                      <w:numPr>
                                        <w:ilvl w:val="0"/>
                                        <w:numId w:val="5"/>
                                      </w:numPr>
                                      <w:spacing w:before="100" w:after="100"/>
                                      <w:rPr>
                                        <w:lang w:val="en-US"/>
                                      </w:rPr>
                                    </w:pPr>
                                    <w:r>
                                      <w:rPr>
                                        <w:lang w:val="en-US"/>
                                      </w:rPr>
                                      <w:t>Strengthening local clusters around area of business operations</w:t>
                                    </w:r>
                                  </w:p>
                                </w:tc>
                              </w:tr>
                            </w:tbl>
                            <w:p w:rsidR="00000000" w:rsidRDefault="00972067"/>
                          </w:txbxContent>
                        </wps:txbx>
                        <wps:bodyPr lIns="0" tIns="0" rIns="0" bIns="0">
                          <a:spAutoFit/>
                        </wps:bodyPr>
                      </wps:wsp>
                    </wpg:wgp>
                  </a:graphicData>
                </a:graphic>
              </wp:anchor>
            </w:drawing>
          </mc:Choice>
          <mc:Fallback>
            <w:pict>
              <v:group id="_x0000_s1054" style="position:absolute;left:0;text-align:left;margin-left:43.2pt;margin-top:191.5pt;width:510.3pt;height:214.45pt;z-index:251674624;mso-wrap-distance-left:12pt;mso-wrap-distance-top:12pt;mso-wrap-distance-right:12pt;mso-wrap-distance-bottom:12pt;mso-position-horizontal-relative:page;mso-position-vertical-relative:page" coordorigin="127,-1547" coordsize="64808,27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">
                <v:shape id="Shape 1073741859" o:spid="_x0000_s1055" type="#_x0000_t202" style="position:absolute;left:127;top:20921;width:64686;height: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p88oA&#10;AADjAAAADwAAAGRycy9kb3ducmV2LnhtbERPS0vDQBC+C/6HZQRvdlMfbRO7LSKIFXqwj9B6G7Jj&#10;sjU7G7Jrmv57Vyj0ON97pvPe1qKj1hvHCoaDBARx4bThUsF283Y3AeEDssbaMSk4kYf57Ppqipl2&#10;R15Rtw6liCHsM1RQhdBkUvqiIot+4BriyH271mKIZ1tK3eIxhtta3ifJSFo0HBsqbOi1ouJn/WsV&#10;jLr0sJc6332uMF9+mC+zeD+clLq96V+eQQTqw0V8di90nJ+MH8aPw8lTCv8/RQDk7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tafPKAAAA4wAAAA8AAAAAAAAAAAAAAAAAmAIA&#10;AGRycy9kb3ducmV2LnhtbFBLBQYAAAAABAAEAPUAAACPAwAAAAA=&#10;" filled="f" stroked="f" strokeweight="1pt">
                  <v:stroke miterlimit="4"/>
                  <v:textbox inset="4pt,4pt,4pt,4pt">
                    <w:txbxContent>
                      <w:p w:rsidR="00725871" w:rsidRDefault="00972067">
                        <w:pPr>
                          <w:pStyle w:val="Body"/>
                          <w:spacing w:line="480" w:lineRule="auto"/>
                          <w:jc w:val="right"/>
                        </w:pPr>
                        <w:r>
                          <w:rPr>
                            <w:rFonts w:ascii="Arial" w:hAnsi="Arial"/>
                            <w:b/>
                            <w:bCs/>
                          </w:rPr>
                          <w:t>Figure 2: Levels of Creating Shared Value (Adapted from Porter &amp; Kramer, 2011)</w:t>
                        </w:r>
                      </w:p>
                    </w:txbxContent>
                  </v:textbox>
                </v:shape>
                <v:rect id="Shape 1073741860" o:spid="_x0000_s1056" style="position:absolute;left:1016;top:-1547;width:63919;height:2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szM0A&#10;AADjAAAADwAAAGRycy9kb3ducmV2LnhtbESPQUvDQBCF74L/YRnBi7SbVmlj2m0RoeBBkKY91NuQ&#10;nWaj2dmQXZvor3cOgseZefPe+9bb0bfqQn1sAhuYTTNQxFWwDdcGjofdJAcVE7LFNjAZ+KYI2831&#10;1RoLGwbe06VMtRITjgUacCl1hdaxcuQxTkNHLLdz6D0mGfta2x4HMfetnmfZQntsWBIcdvTsqPos&#10;v7yB3dupIf7R+7vHfAgf1fy9dK+dMbc349MKVKIx/Yv/vl+s1M+W98uHWb4QCmGSBejN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khLMzNAAAA4wAAAA8AAAAAAAAAAAAAAAAA&#10;mAIAAGRycy9kb3ducmV2LnhtbFBLBQYAAAAABAAEAPUAAACSAwAAAAA=&#10;" filled="f" stroked="f">
                  <v:textbox style="mso-fit-shape-to-text:t" inset="0,0,0,0">
                    <w:txbxContent>
                      <w:tbl>
                        <w:tblPr>
                          <w:tblW w:w="10026" w:type="dxa"/>
                          <w:tblInd w:w="20" w:type="dxa"/>
                          <w:tblBorders>
                            <w:top w:val="single" w:sz="2" w:space="0" w:color="000000"/>
                            <w:left w:val="single" w:sz="2" w:space="0" w:color="000000"/>
                            <w:bottom w:val="single" w:sz="2" w:space="0" w:color="000000"/>
                            <w:right w:val="single" w:sz="2" w:space="0" w:color="000000"/>
                            <w:insideH w:val="single" w:sz="16" w:space="0" w:color="000000"/>
                            <w:insideV w:val="single" w:sz="16" w:space="0" w:color="000000"/>
                          </w:tblBorders>
                          <w:shd w:val="clear" w:color="auto" w:fill="BDC0BF"/>
                          <w:tblLayout w:type="fixed"/>
                          <w:tblLook w:val="04A0" w:firstRow="1" w:lastRow="0" w:firstColumn="1" w:lastColumn="0" w:noHBand="0" w:noVBand="1"/>
                        </w:tblPr>
                        <w:tblGrid>
                          <w:gridCol w:w="3342"/>
                          <w:gridCol w:w="3342"/>
                          <w:gridCol w:w="3342"/>
                        </w:tblGrid>
                        <w:tr w:rsidR="00725871">
                          <w:trPr>
                            <w:trHeight w:hRule="exact" w:val="473"/>
                            <w:tblHeader/>
                          </w:trPr>
                          <w:tc>
                            <w:tcPr>
                              <w:tcW w:w="10026" w:type="dxa"/>
                              <w:gridSpan w:val="3"/>
                              <w:tcBorders>
                                <w:top w:val="single" w:sz="16" w:space="0" w:color="000000"/>
                                <w:left w:val="single" w:sz="16" w:space="0" w:color="000000"/>
                                <w:bottom w:val="single" w:sz="16" w:space="0" w:color="000000"/>
                                <w:right w:val="single" w:sz="16" w:space="0" w:color="000000"/>
                              </w:tcBorders>
                              <w:shd w:val="clear" w:color="auto" w:fill="56C1FE"/>
                              <w:tcMar>
                                <w:top w:w="80" w:type="dxa"/>
                                <w:left w:w="80" w:type="dxa"/>
                                <w:bottom w:w="80" w:type="dxa"/>
                                <w:right w:w="80" w:type="dxa"/>
                              </w:tcMar>
                              <w:vAlign w:val="center"/>
                            </w:tcPr>
                            <w:p w:rsidR="00725871" w:rsidRDefault="00972067">
                              <w:pPr>
                                <w:pStyle w:val="TableStyle1"/>
                                <w:jc w:val="center"/>
                              </w:pPr>
                              <w:r>
                                <w:rPr>
                                  <w:color w:val="FEFEFE"/>
                                  <w:sz w:val="30"/>
                                  <w:szCs w:val="30"/>
                                </w:rPr>
                                <w:t>Creating Shared Value</w:t>
                              </w:r>
                            </w:p>
                          </w:tc>
                        </w:tr>
                        <w:tr w:rsidR="00725871">
                          <w:tblPrEx>
                            <w:shd w:val="clear" w:color="auto" w:fill="auto"/>
                          </w:tblPrEx>
                          <w:trPr>
                            <w:trHeight w:hRule="exact" w:val="538"/>
                          </w:trPr>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rsidR="00725871" w:rsidRDefault="00972067">
                              <w:pPr>
                                <w:pStyle w:val="TableStyle2"/>
                                <w:jc w:val="center"/>
                              </w:pPr>
                              <w:r>
                                <w:rPr>
                                  <w:b/>
                                  <w:bCs/>
                                </w:rPr>
                                <w:t>Reconceiving Products &amp; Markets</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rsidR="00725871" w:rsidRDefault="00972067">
                              <w:pPr>
                                <w:pStyle w:val="TableStyle2"/>
                                <w:jc w:val="center"/>
                              </w:pPr>
                              <w:r>
                                <w:rPr>
                                  <w:b/>
                                  <w:bCs/>
                                </w:rPr>
                                <w:t xml:space="preserve">Redefining Productivity in the Value Chain </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rsidR="00725871" w:rsidRDefault="00972067">
                              <w:pPr>
                                <w:pStyle w:val="TableStyle2"/>
                                <w:jc w:val="center"/>
                              </w:pPr>
                              <w:r>
                                <w:rPr>
                                  <w:b/>
                                  <w:bCs/>
                                </w:rPr>
                                <w:t xml:space="preserve">Enabling Local Cluster Development </w:t>
                              </w:r>
                            </w:p>
                          </w:tc>
                        </w:tr>
                        <w:tr w:rsidR="00725871">
                          <w:tblPrEx>
                            <w:shd w:val="clear" w:color="auto" w:fill="auto"/>
                          </w:tblPrEx>
                          <w:trPr>
                            <w:trHeight w:hRule="exact" w:val="2028"/>
                          </w:trPr>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725871" w:rsidRDefault="00972067">
                              <w:pPr>
                                <w:pStyle w:val="TableStyle2"/>
                                <w:numPr>
                                  <w:ilvl w:val="0"/>
                                  <w:numId w:val="3"/>
                                </w:numPr>
                                <w:spacing w:before="100" w:after="100"/>
                                <w:rPr>
                                  <w:lang w:val="en-US"/>
                                </w:rPr>
                              </w:pPr>
                              <w:r>
                                <w:rPr>
                                  <w:lang w:val="en-US"/>
                                </w:rPr>
                                <w:t>Meeting needs of society through products and services</w:t>
                              </w:r>
                            </w:p>
                            <w:p w:rsidR="00725871" w:rsidRDefault="00972067">
                              <w:pPr>
                                <w:pStyle w:val="TableStyle2"/>
                                <w:numPr>
                                  <w:ilvl w:val="0"/>
                                  <w:numId w:val="3"/>
                                </w:numPr>
                                <w:spacing w:before="100" w:after="100"/>
                                <w:rPr>
                                  <w:lang w:val="en-US"/>
                                </w:rPr>
                              </w:pPr>
                              <w:r>
                                <w:rPr>
                                  <w:lang w:val="en-US"/>
                                </w:rPr>
                                <w:t>Addressing needs of unserved or undeserved customers or markets</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725871" w:rsidRDefault="00972067">
                              <w:pPr>
                                <w:pStyle w:val="TableStyle2"/>
                                <w:numPr>
                                  <w:ilvl w:val="0"/>
                                  <w:numId w:val="4"/>
                                </w:numPr>
                              </w:pPr>
                              <w:r>
                                <w:rPr>
                                  <w:rFonts w:eastAsia="Arial Unicode MS" w:cs="Arial Unicode MS"/>
                                  <w:lang w:val="en-US"/>
                                </w:rPr>
                                <w:t>Innovation in business operations to address needs of society</w:t>
                              </w:r>
                            </w:p>
                            <w:p w:rsidR="00725871" w:rsidRDefault="00972067">
                              <w:pPr>
                                <w:pStyle w:val="TableStyle2"/>
                                <w:numPr>
                                  <w:ilvl w:val="0"/>
                                  <w:numId w:val="4"/>
                                </w:numPr>
                                <w:spacing w:before="100" w:after="100"/>
                                <w:rPr>
                                  <w:lang w:val="en-US"/>
                                </w:rPr>
                              </w:pPr>
                              <w:proofErr w:type="spellStart"/>
                              <w:r>
                                <w:rPr>
                                  <w:lang w:val="en-US"/>
                                </w:rPr>
                                <w:t>Utilising</w:t>
                              </w:r>
                              <w:proofErr w:type="spellEnd"/>
                              <w:r>
                                <w:rPr>
                                  <w:lang w:val="en-US"/>
                                </w:rPr>
                                <w:t>; resources, logistics, ene</w:t>
                              </w:r>
                              <w:r>
                                <w:rPr>
                                  <w:lang w:val="en-US"/>
                                </w:rPr>
                                <w:t>r</w:t>
                              </w:r>
                              <w:r>
                                <w:rPr>
                                  <w:lang w:val="en-US"/>
                                </w:rPr>
                                <w:t>gy, suppliers, distribution and e</w:t>
                              </w:r>
                              <w:r>
                                <w:rPr>
                                  <w:lang w:val="en-US"/>
                                </w:rPr>
                                <w:t>m</w:t>
                              </w:r>
                              <w:r>
                                <w:rPr>
                                  <w:lang w:val="en-US"/>
                                </w:rPr>
                                <w:t xml:space="preserve">ployees more effectively to reshape the value chain in </w:t>
                              </w:r>
                              <w:proofErr w:type="spellStart"/>
                              <w:r>
                                <w:rPr>
                                  <w:lang w:val="en-US"/>
                                </w:rPr>
                                <w:t>favour</w:t>
                              </w:r>
                              <w:proofErr w:type="spellEnd"/>
                              <w:r>
                                <w:rPr>
                                  <w:lang w:val="en-US"/>
                                </w:rPr>
                                <w:t xml:space="preserve"> of societal needs.</w:t>
                              </w:r>
                            </w:p>
                          </w:tc>
                          <w:tc>
                            <w:tcPr>
                              <w:tcW w:w="334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725871" w:rsidRDefault="00972067">
                              <w:pPr>
                                <w:pStyle w:val="TableStyle2"/>
                                <w:numPr>
                                  <w:ilvl w:val="0"/>
                                  <w:numId w:val="5"/>
                                </w:numPr>
                                <w:spacing w:before="100" w:after="100"/>
                                <w:rPr>
                                  <w:lang w:val="en-US"/>
                                </w:rPr>
                              </w:pPr>
                              <w:r>
                                <w:rPr>
                                  <w:lang w:val="en-US"/>
                                </w:rPr>
                                <w:t>Improving the infrastructure and i</w:t>
                              </w:r>
                              <w:r>
                                <w:rPr>
                                  <w:lang w:val="en-US"/>
                                </w:rPr>
                                <w:t>n</w:t>
                              </w:r>
                              <w:r>
                                <w:rPr>
                                  <w:lang w:val="en-US"/>
                                </w:rPr>
                                <w:t>stituti</w:t>
                              </w:r>
                              <w:r>
                                <w:rPr>
                                  <w:lang w:val="en-US"/>
                                </w:rPr>
                                <w:t>ons that affects business oper</w:t>
                              </w:r>
                              <w:r>
                                <w:rPr>
                                  <w:lang w:val="en-US"/>
                                </w:rPr>
                                <w:t>a</w:t>
                              </w:r>
                              <w:r>
                                <w:rPr>
                                  <w:lang w:val="en-US"/>
                                </w:rPr>
                                <w:t>tions</w:t>
                              </w:r>
                            </w:p>
                            <w:p w:rsidR="00725871" w:rsidRDefault="00972067">
                              <w:pPr>
                                <w:pStyle w:val="TableStyle2"/>
                                <w:numPr>
                                  <w:ilvl w:val="0"/>
                                  <w:numId w:val="5"/>
                                </w:numPr>
                                <w:spacing w:before="100" w:after="100"/>
                                <w:rPr>
                                  <w:lang w:val="en-US"/>
                                </w:rPr>
                              </w:pPr>
                              <w:r>
                                <w:rPr>
                                  <w:lang w:val="en-US"/>
                                </w:rPr>
                                <w:t>Strengthening local clusters around area of business operations</w:t>
                              </w:r>
                            </w:p>
                          </w:tc>
                        </w:tr>
                      </w:tbl>
                      <w:p w:rsidR="00000000" w:rsidRDefault="00972067"/>
                    </w:txbxContent>
                  </v:textbox>
                </v:rect>
                <w10:wrap anchorx="page" anchory="page"/>
              </v:group>
            </w:pict>
          </mc:Fallback>
        </mc:AlternateContent>
      </w:r>
      <w:r>
        <w:t>mer (2011). The differences between traditional Corporate Social Responsibility and Creating Shared Value are also highlighted in Figure 3.</w:t>
      </w:r>
      <w:r>
        <w:rPr>
          <w:noProof/>
          <w:lang w:val="en-GB"/>
        </w:rPr>
        <mc:AlternateContent>
          <mc:Choice Requires="wpg">
            <w:drawing>
              <wp:anchor distT="152400" distB="152400" distL="152400" distR="152400" simplePos="0" relativeHeight="251672576" behindDoc="0" locked="0" layoutInCell="1" allowOverlap="1">
                <wp:simplePos x="0" y="0"/>
                <wp:positionH relativeFrom="page">
                  <wp:posOffset>414019</wp:posOffset>
                </wp:positionH>
                <wp:positionV relativeFrom="line">
                  <wp:posOffset>4004027</wp:posOffset>
                </wp:positionV>
                <wp:extent cx="6422396" cy="4437647"/>
                <wp:effectExtent l="0" t="0" r="0" b="0"/>
                <wp:wrapTopAndBottom distT="152400" distB="152400"/>
                <wp:docPr id="1073741858" name="officeArt object" descr="officeArt object"/>
                <wp:cNvGraphicFramePr/>
                <a:graphic xmlns:a="http://schemas.openxmlformats.org/drawingml/2006/main">
                  <a:graphicData uri="http://schemas.microsoft.com/office/word/2010/wordprocessingGroup">
                    <wpg:wgp>
                      <wpg:cNvGrpSpPr/>
                      <wpg:grpSpPr>
                        <a:xfrm>
                          <a:off x="0" y="0"/>
                          <a:ext cx="6422396" cy="4437647"/>
                          <a:chOff x="-1" y="0"/>
                          <a:chExt cx="6422395" cy="4437646"/>
                        </a:xfrm>
                      </wpg:grpSpPr>
                      <pic:pic xmlns:pic="http://schemas.openxmlformats.org/drawingml/2006/picture">
                        <pic:nvPicPr>
                          <pic:cNvPr id="1073741856" name="Screen Shot 2019-01-02 at 11.29.45.png" descr="Screen Shot 2019-01-02 at 11.29.45.png"/>
                          <pic:cNvPicPr>
                            <a:picLocks noChangeAspect="1"/>
                          </pic:cNvPicPr>
                        </pic:nvPicPr>
                        <pic:blipFill>
                          <a:blip r:embed="rId20">
                            <a:extLst/>
                          </a:blip>
                          <a:stretch>
                            <a:fillRect/>
                          </a:stretch>
                        </pic:blipFill>
                        <pic:spPr>
                          <a:xfrm>
                            <a:off x="1203985" y="-1"/>
                            <a:ext cx="4014423" cy="3670681"/>
                          </a:xfrm>
                          <a:prstGeom prst="rect">
                            <a:avLst/>
                          </a:prstGeom>
                          <a:ln w="12700" cap="flat">
                            <a:noFill/>
                            <a:miter lim="400000"/>
                          </a:ln>
                          <a:effectLst/>
                        </pic:spPr>
                      </pic:pic>
                      <wps:wsp>
                        <wps:cNvPr id="1073741857" name="Shape 1073741858"/>
                        <wps:cNvSpPr txBox="1"/>
                        <wps:spPr>
                          <a:xfrm>
                            <a:off x="-2" y="3884962"/>
                            <a:ext cx="6422397" cy="552684"/>
                          </a:xfrm>
                          <a:prstGeom prst="rect">
                            <a:avLst/>
                          </a:prstGeom>
                          <a:noFill/>
                          <a:ln w="12700" cap="flat">
                            <a:noFill/>
                            <a:miter lim="400000"/>
                          </a:ln>
                          <a:effectLst/>
                        </wps:spPr>
                        <wps:txbx>
                          <w:txbxContent>
                            <w:p w:rsidR="00725871" w:rsidRDefault="00972067">
                              <w:pPr>
                                <w:pStyle w:val="BodyA"/>
                                <w:jc w:val="right"/>
                              </w:pPr>
                              <w:r>
                                <w:rPr>
                                  <w:b/>
                                  <w:bCs/>
                                </w:rPr>
                                <w:t xml:space="preserve">Figure 3: </w:t>
                              </w:r>
                              <w:r>
                                <w:rPr>
                                  <w:b/>
                                  <w:bCs/>
                                </w:rPr>
                                <w:t>Differences between CSR &amp; CSV (Porter &amp; Kramer, 2011)</w:t>
                              </w:r>
                            </w:p>
                          </w:txbxContent>
                        </wps:txbx>
                        <wps:bodyPr wrap="square" lIns="50800" tIns="50800" rIns="50800" bIns="50800" numCol="1" anchor="t">
                          <a:noAutofit/>
                        </wps:bodyPr>
                      </wps:wsp>
                    </wpg:wgp>
                  </a:graphicData>
                </a:graphic>
              </wp:anchor>
            </w:drawing>
          </mc:Choice>
          <mc:Fallback>
            <w:pict>
              <v:group id="_x0000_s1059" style="visibility:visible;position:absolute;margin-left:32.6pt;margin-top:315.3pt;width:505.7pt;height:349.4pt;z-index:251672576;mso-position-horizontal:absolute;mso-position-horizontal-relative:page;mso-position-vertical:absolute;mso-position-vertical-relative:line;mso-wrap-distance-left:12.0pt;mso-wrap-distance-top:12.0pt;mso-wrap-distance-right:12.0pt;mso-wrap-distance-bottom:12.0pt;" coordorigin="-1,-1" coordsize="6422395,4437647">
                <w10:wrap type="topAndBottom" side="bothSides" anchorx="page"/>
                <v:shape id="_x0000_s1060" type="#_x0000_t75" style="position:absolute;left:1203985;top:-1;width:4014422;height:3670681;">
                  <v:imagedata r:id="rId21" o:title="image5.png"/>
                </v:shape>
                <v:shape id="_x0000_s1061" type="#_x0000_t202" style="position:absolute;left:-1;top:3884963;width:6422395;height:552683;">
                  <v:fill on="f"/>
                  <v:stroke on="f" weight="1.0pt" dashstyle="solid" endcap="flat" miterlimit="400.0%" joinstyle="miter" linestyle="single" startarrow="none" startarrowwidth="medium" startarrowlength="medium" endarrow="none" endarrowwidth="medium" endarrowlength="medium"/>
                  <v:textbox>
                    <w:txbxContent>
                      <w:p>
                        <w:pPr>
                          <w:pStyle w:val="Body A"/>
                          <w:jc w:val="right"/>
                        </w:pPr>
                        <w:r>
                          <w:rPr>
                            <w:b w:val="1"/>
                            <w:bCs w:val="1"/>
                            <w:rtl w:val="0"/>
                            <w:lang w:val="en-US"/>
                          </w:rPr>
                          <w:t>Figure 3: Differences between CSR &amp; CSV (Porter &amp; Kramer, 2011)</w:t>
                        </w:r>
                      </w:p>
                    </w:txbxContent>
                  </v:textbox>
                </v:shape>
              </v:group>
            </w:pict>
          </mc:Fallback>
        </mc:AlternateContent>
      </w:r>
      <w:r>
        <w:rPr>
          <w:rFonts w:ascii="Arial Unicode MS" w:hAnsi="Arial Unicode MS"/>
        </w:rPr>
        <w:br w:type="page"/>
      </w:r>
    </w:p>
    <w:p w:rsidR="00725871" w:rsidRDefault="00972067">
      <w:pPr>
        <w:pStyle w:val="BodyA"/>
        <w:rPr>
          <w:b/>
          <w:bCs/>
        </w:rPr>
      </w:pPr>
      <w:r>
        <w:rPr>
          <w:b/>
          <w:bCs/>
        </w:rPr>
        <w:lastRenderedPageBreak/>
        <w:t>Appendix 3: Period Poverty Statistics (Plan International UK, 2017)</w:t>
      </w:r>
    </w:p>
    <w:p w:rsidR="00725871" w:rsidRDefault="00972067">
      <w:pPr>
        <w:pStyle w:val="BodyA"/>
      </w:pPr>
      <w:r>
        <w:t>The following statistics represent data obtained from a sample population of 1000 girls aged 14-21 in 2017 (Plan international UK, 2</w:t>
      </w:r>
      <w:r>
        <w:t>017). The information reflects the growing i</w:t>
      </w:r>
      <w:r>
        <w:t>s</w:t>
      </w:r>
      <w:r>
        <w:t>sue of period poverty across the UK due to societal and economic barriers across family, education and governmental institutions.</w:t>
      </w:r>
      <w:r>
        <w:rPr>
          <w:noProof/>
          <w:lang w:val="en-GB"/>
        </w:rPr>
        <mc:AlternateContent>
          <mc:Choice Requires="wpg">
            <w:drawing>
              <wp:anchor distT="152400" distB="152400" distL="152400" distR="152400" simplePos="0" relativeHeight="251671552" behindDoc="0" locked="0" layoutInCell="1" allowOverlap="1">
                <wp:simplePos x="0" y="0"/>
                <wp:positionH relativeFrom="page">
                  <wp:posOffset>1</wp:posOffset>
                </wp:positionH>
                <wp:positionV relativeFrom="line">
                  <wp:posOffset>665481</wp:posOffset>
                </wp:positionV>
                <wp:extent cx="6840064" cy="6278355"/>
                <wp:effectExtent l="0" t="0" r="0" b="0"/>
                <wp:wrapTopAndBottom distT="152400" distB="152400"/>
                <wp:docPr id="1073741864" name="officeArt object" descr="officeArt object"/>
                <wp:cNvGraphicFramePr/>
                <a:graphic xmlns:a="http://schemas.openxmlformats.org/drawingml/2006/main">
                  <a:graphicData uri="http://schemas.microsoft.com/office/word/2010/wordprocessingGroup">
                    <wpg:wgp>
                      <wpg:cNvGrpSpPr/>
                      <wpg:grpSpPr>
                        <a:xfrm>
                          <a:off x="0" y="0"/>
                          <a:ext cx="6840064" cy="6278355"/>
                          <a:chOff x="-1" y="0"/>
                          <a:chExt cx="6840063" cy="6278354"/>
                        </a:xfrm>
                      </wpg:grpSpPr>
                      <pic:pic xmlns:pic="http://schemas.openxmlformats.org/drawingml/2006/picture">
                        <pic:nvPicPr>
                          <pic:cNvPr id="1073741862" name="Screen Shot 2019-01-02 at 11.21.29.png" descr="Screen Shot 2019-01-02 at 11.21.29.png"/>
                          <pic:cNvPicPr>
                            <a:picLocks noChangeAspect="1"/>
                          </pic:cNvPicPr>
                        </pic:nvPicPr>
                        <pic:blipFill>
                          <a:blip r:embed="rId22">
                            <a:extLst/>
                          </a:blip>
                          <a:stretch>
                            <a:fillRect/>
                          </a:stretch>
                        </pic:blipFill>
                        <pic:spPr>
                          <a:xfrm>
                            <a:off x="947540" y="-1"/>
                            <a:ext cx="4944981" cy="5486668"/>
                          </a:xfrm>
                          <a:prstGeom prst="rect">
                            <a:avLst/>
                          </a:prstGeom>
                          <a:ln w="12700" cap="flat">
                            <a:noFill/>
                            <a:miter lim="400000"/>
                          </a:ln>
                          <a:effectLst/>
                        </pic:spPr>
                      </pic:pic>
                      <wps:wsp>
                        <wps:cNvPr id="1073741863" name="Shape 1073741864"/>
                        <wps:cNvSpPr txBox="1"/>
                        <wps:spPr>
                          <a:xfrm>
                            <a:off x="-2" y="5689734"/>
                            <a:ext cx="6840064" cy="588621"/>
                          </a:xfrm>
                          <a:prstGeom prst="rect">
                            <a:avLst/>
                          </a:prstGeom>
                          <a:noFill/>
                          <a:ln w="12700" cap="flat">
                            <a:noFill/>
                            <a:miter lim="400000"/>
                          </a:ln>
                          <a:effectLst/>
                        </wps:spPr>
                        <wps:txbx>
                          <w:txbxContent>
                            <w:p w:rsidR="00725871" w:rsidRDefault="00972067">
                              <w:pPr>
                                <w:pStyle w:val="BodyA"/>
                                <w:jc w:val="right"/>
                              </w:pPr>
                              <w:r>
                                <w:rPr>
                                  <w:b/>
                                  <w:bCs/>
                                </w:rPr>
                                <w:t>Figure 4: Period Poverty Statistics (Plan International UK, 2017)</w:t>
                              </w:r>
                            </w:p>
                          </w:txbxContent>
                        </wps:txbx>
                        <wps:bodyPr wrap="square" lIns="50800" tIns="50800" rIns="50800" bIns="50800" numCol="1" anchor="t">
                          <a:noAutofit/>
                        </wps:bodyPr>
                      </wps:wsp>
                    </wpg:wgp>
                  </a:graphicData>
                </a:graphic>
              </wp:anchor>
            </w:drawing>
          </mc:Choice>
          <mc:Fallback>
            <w:pict>
              <v:group id="_x0000_s1062" style="visibility:visible;position:absolute;margin-left:0.0pt;margin-top:52.4pt;width:538.6pt;height:494.4pt;z-index:251671552;mso-position-horizontal:absolute;mso-position-horizontal-relative:page;mso-position-vertical:absolute;mso-position-vertical-relative:line;mso-wrap-distance-left:12.0pt;mso-wrap-distance-top:12.0pt;mso-wrap-distance-right:12.0pt;mso-wrap-distance-bottom:12.0pt;" coordorigin="-1,0" coordsize="6840063,6278354">
                <w10:wrap type="topAndBottom" side="bothSides" anchorx="page"/>
                <v:shape id="_x0000_s1063" type="#_x0000_t75" style="position:absolute;left:947540;top:0;width:4944981;height:5486667;">
                  <v:imagedata r:id="rId23" o:title="image6.png"/>
                </v:shape>
                <v:shape id="_x0000_s1064" type="#_x0000_t202" style="position:absolute;left:-1;top:5689734;width:6840063;height:588620;">
                  <v:fill on="f"/>
                  <v:stroke on="f" weight="1.0pt" dashstyle="solid" endcap="flat" miterlimit="400.0%" joinstyle="miter" linestyle="single" startarrow="none" startarrowwidth="medium" startarrowlength="medium" endarrow="none" endarrowwidth="medium" endarrowlength="medium"/>
                  <v:textbox>
                    <w:txbxContent>
                      <w:p>
                        <w:pPr>
                          <w:pStyle w:val="Body A"/>
                          <w:jc w:val="right"/>
                        </w:pPr>
                        <w:r>
                          <w:rPr>
                            <w:b w:val="1"/>
                            <w:bCs w:val="1"/>
                            <w:rtl w:val="0"/>
                            <w:lang w:val="en-US"/>
                          </w:rPr>
                          <w:t>Figure 4: Period Poverty Statistics (Plan International UK, 2017)</w:t>
                        </w:r>
                      </w:p>
                    </w:txbxContent>
                  </v:textbox>
                </v:shape>
              </v:group>
            </w:pict>
          </mc:Fallback>
        </mc:AlternateContent>
      </w:r>
      <w:r>
        <w:t xml:space="preserve"> </w:t>
      </w:r>
      <w:r>
        <w:rPr>
          <w:rFonts w:ascii="Arial Unicode MS" w:hAnsi="Arial Unicode MS"/>
        </w:rPr>
        <w:br w:type="page"/>
      </w:r>
    </w:p>
    <w:p w:rsidR="00725871" w:rsidRDefault="00972067">
      <w:pPr>
        <w:pStyle w:val="BodyA"/>
        <w:rPr>
          <w:b/>
          <w:bCs/>
        </w:rPr>
      </w:pPr>
      <w:r>
        <w:rPr>
          <w:b/>
          <w:bCs/>
        </w:rPr>
        <w:lastRenderedPageBreak/>
        <w:t>Appendix 4</w:t>
      </w:r>
      <w:r>
        <w:rPr>
          <w:b/>
          <w:bCs/>
        </w:rPr>
        <w:t>: XXX and ‘Plastic Free Periods’</w:t>
      </w:r>
    </w:p>
    <w:p w:rsidR="00725871" w:rsidRDefault="00972067">
      <w:pPr>
        <w:pStyle w:val="BodyA"/>
      </w:pPr>
      <w:r>
        <w:t>XXX is one brand that produces plastic free disposable sanitary products and pioneers the “#</w:t>
      </w:r>
      <w:proofErr w:type="spellStart"/>
      <w:r>
        <w:t>periodswithoutplastic</w:t>
      </w:r>
      <w:proofErr w:type="spellEnd"/>
      <w:r>
        <w:t>” campaign by Women’s Environmental Network (2018). XXX would benefit from launching their plastic free tampon</w:t>
      </w:r>
      <w:r>
        <w:t>s in line with this campaign that encourages education of responsible consumerism of sanitary products and champions brands that demonstrate responsible production in the industry.</w:t>
      </w:r>
    </w:p>
    <w:p w:rsidR="00725871" w:rsidRDefault="00972067">
      <w:pPr>
        <w:pStyle w:val="BodyA"/>
      </w:pPr>
      <w:r>
        <w:t>Figure 5 shows the product description from XXX’s website of their cardboar</w:t>
      </w:r>
      <w:r>
        <w:t>d applicator tampons, illustrating the benefits of plastic free sanitary protection of which XXX could e</w:t>
      </w:r>
      <w:r>
        <w:t>m</w:t>
      </w:r>
      <w:r>
        <w:t>ulate by adapting their current applicator tampons.</w:t>
      </w:r>
    </w:p>
    <w:p w:rsidR="00725871" w:rsidRDefault="00972067">
      <w:pPr>
        <w:pStyle w:val="BodyA"/>
      </w:pPr>
      <w:r>
        <w:rPr>
          <w:noProof/>
          <w:lang w:val="en-GB"/>
        </w:rPr>
        <mc:AlternateContent>
          <mc:Choice Requires="wps">
            <w:drawing>
              <wp:anchor distT="0" distB="0" distL="0" distR="0" simplePos="0" relativeHeight="251673600" behindDoc="0" locked="0" layoutInCell="1" allowOverlap="1">
                <wp:simplePos x="0" y="0"/>
                <wp:positionH relativeFrom="page">
                  <wp:posOffset>351872</wp:posOffset>
                </wp:positionH>
                <wp:positionV relativeFrom="line">
                  <wp:posOffset>421262</wp:posOffset>
                </wp:positionV>
                <wp:extent cx="6840057" cy="588617"/>
                <wp:effectExtent l="0" t="0" r="0" b="0"/>
                <wp:wrapNone/>
                <wp:docPr id="1073741865" name="officeArt object" descr="officeArt object"/>
                <wp:cNvGraphicFramePr/>
                <a:graphic xmlns:a="http://schemas.openxmlformats.org/drawingml/2006/main">
                  <a:graphicData uri="http://schemas.microsoft.com/office/word/2010/wordprocessingShape">
                    <wps:wsp>
                      <wps:cNvSpPr txBox="1"/>
                      <wps:spPr>
                        <a:xfrm>
                          <a:off x="0" y="0"/>
                          <a:ext cx="6840057" cy="588617"/>
                        </a:xfrm>
                        <a:prstGeom prst="rect">
                          <a:avLst/>
                        </a:prstGeom>
                        <a:noFill/>
                        <a:ln w="12700" cap="flat">
                          <a:noFill/>
                          <a:miter lim="400000"/>
                        </a:ln>
                        <a:effectLst/>
                      </wps:spPr>
                      <wps:txbx>
                        <w:txbxContent>
                          <w:p w:rsidR="00725871" w:rsidRDefault="00972067">
                            <w:pPr>
                              <w:pStyle w:val="BodyA"/>
                              <w:jc w:val="center"/>
                            </w:pPr>
                            <w:r>
                              <w:rPr>
                                <w:b/>
                                <w:bCs/>
                              </w:rPr>
                              <w:t xml:space="preserve">Figure 5: XXX Cardboard Applicator Tampons (XXX, 2019) </w:t>
                            </w:r>
                          </w:p>
                        </w:txbxContent>
                      </wps:txbx>
                      <wps:bodyPr wrap="square" lIns="50800" tIns="50800" rIns="50800" bIns="50800" numCol="1" anchor="t">
                        <a:noAutofit/>
                      </wps:bodyPr>
                    </wps:wsp>
                  </a:graphicData>
                </a:graphic>
              </wp:anchor>
            </w:drawing>
          </mc:Choice>
          <mc:Fallback>
            <w:pict>
              <v:shape id="_x0000_s1065" type="#_x0000_t202" style="visibility:visible;position:absolute;margin-left:27.7pt;margin-top:33.2pt;width:538.6pt;height:46.3pt;z-index:251673600;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b w:val="1"/>
                          <w:bCs w:val="1"/>
                          <w:rtl w:val="0"/>
                          <w:lang w:val="en-US"/>
                        </w:rPr>
                        <w:t xml:space="preserve">Figure 5: XXX Cardboard Applicator Tampons (XXX, 2019) </w:t>
                      </w:r>
                    </w:p>
                  </w:txbxContent>
                </v:textbox>
                <w10:wrap type="none" side="bothSides" anchorx="page"/>
              </v:shape>
            </w:pict>
          </mc:Fallback>
        </mc:AlternateContent>
      </w:r>
    </w:p>
    <w:sectPr w:rsidR="00725871">
      <w:headerReference w:type="default" r:id="rId2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67" w:rsidRDefault="00972067">
      <w:r>
        <w:separator/>
      </w:r>
    </w:p>
  </w:endnote>
  <w:endnote w:type="continuationSeparator" w:id="0">
    <w:p w:rsidR="00972067" w:rsidRDefault="0097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71" w:rsidRDefault="00725871">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67" w:rsidRDefault="00972067">
      <w:r>
        <w:separator/>
      </w:r>
    </w:p>
  </w:footnote>
  <w:footnote w:type="continuationSeparator" w:id="0">
    <w:p w:rsidR="00972067" w:rsidRDefault="0097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71" w:rsidRDefault="00725871">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71" w:rsidRDefault="00725871">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4445C"/>
    <w:multiLevelType w:val="hybridMultilevel"/>
    <w:tmpl w:val="9304A9F6"/>
    <w:styleLink w:val="Bullet"/>
    <w:lvl w:ilvl="0" w:tplc="E96C8A60">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158E50C">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AC54E0">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A8ECB4">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F28EAE8">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145E5C">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3243F6">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86CABE4">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529236">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E3F407D"/>
    <w:multiLevelType w:val="hybridMultilevel"/>
    <w:tmpl w:val="6CDC9912"/>
    <w:lvl w:ilvl="0" w:tplc="DE34103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FF8AF6B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A7ACAF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936AC43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FDCAF24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45788FC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EC616B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D7DC96F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0A4A02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51FA2E91"/>
    <w:multiLevelType w:val="hybridMultilevel"/>
    <w:tmpl w:val="9304A9F6"/>
    <w:numStyleLink w:val="Bullet"/>
  </w:abstractNum>
  <w:abstractNum w:abstractNumId="3">
    <w:nsid w:val="5E244321"/>
    <w:multiLevelType w:val="hybridMultilevel"/>
    <w:tmpl w:val="052CCB22"/>
    <w:lvl w:ilvl="0" w:tplc="8752B7C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BB52EE0A">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8CCC45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E60B5B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8CA2BC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FEE4374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E3E957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366F7B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2C368F6E">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77D32996"/>
    <w:multiLevelType w:val="hybridMultilevel"/>
    <w:tmpl w:val="57608A78"/>
    <w:lvl w:ilvl="0" w:tplc="8718406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CA4681BA">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97CAD1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8EEF5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783ACC0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C86AC1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7FA0E2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A1ECB5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73306BA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5871"/>
    <w:rsid w:val="00604EBE"/>
    <w:rsid w:val="00725871"/>
    <w:rsid w:val="0097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spacing w:line="480" w:lineRule="auto"/>
      <w:ind w:firstLine="283"/>
      <w:jc w:val="both"/>
      <w:outlineLvl w:val="1"/>
    </w:pPr>
    <w:rPr>
      <w:rFonts w:ascii="Arial" w:eastAsia="Arial" w:hAnsi="Arial" w:cs="Arial"/>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480" w:lineRule="auto"/>
      <w:jc w:val="both"/>
    </w:pPr>
    <w:rPr>
      <w:rFonts w:ascii="Arial" w:hAnsi="Arial" w:cs="Arial Unicode MS"/>
      <w:color w:val="000000"/>
      <w:sz w:val="24"/>
      <w:szCs w:val="24"/>
      <w:u w:color="000000"/>
      <w:lang w:val="en-US"/>
    </w:rPr>
  </w:style>
  <w:style w:type="paragraph" w:styleId="Title">
    <w:name w:val="Title"/>
    <w:next w:val="BodyA"/>
    <w:pPr>
      <w:keepNext/>
      <w:outlineLvl w:val="3"/>
    </w:pPr>
    <w:rPr>
      <w:rFonts w:ascii="Helvetica Neue" w:hAnsi="Helvetica Neue" w:cs="Arial Unicode MS"/>
      <w:b/>
      <w:bCs/>
      <w:color w:val="000000"/>
      <w:sz w:val="60"/>
      <w:szCs w:val="60"/>
      <w:u w:color="000000"/>
      <w:lang w:val="en-US"/>
    </w:rPr>
  </w:style>
  <w:style w:type="paragraph" w:customStyle="1" w:styleId="BodyB">
    <w:name w:val="Body B"/>
    <w:rPr>
      <w:rFonts w:eastAsia="Times New Roman"/>
      <w:color w:val="000000"/>
      <w:sz w:val="24"/>
      <w:szCs w:val="24"/>
      <w:u w:color="000000"/>
      <w:lang w:val="en-US"/>
    </w:rPr>
  </w:style>
  <w:style w:type="paragraph" w:styleId="TOC1">
    <w:name w:val="toc 1"/>
    <w:pPr>
      <w:tabs>
        <w:tab w:val="right" w:pos="8928"/>
      </w:tabs>
      <w:spacing w:before="60" w:after="120" w:line="336" w:lineRule="auto"/>
      <w:ind w:left="240"/>
    </w:pPr>
    <w:rPr>
      <w:rFonts w:ascii="Helvetica Neue" w:eastAsia="Helvetica Neue" w:hAnsi="Helvetica Neue" w:cs="Helvetica Neue"/>
      <w:b/>
      <w:bCs/>
      <w:color w:val="000000"/>
      <w:sz w:val="26"/>
      <w:szCs w:val="26"/>
      <w:u w:color="000000"/>
      <w:lang w:val="en-US"/>
    </w:rPr>
  </w:style>
  <w:style w:type="paragraph" w:customStyle="1" w:styleId="Heading">
    <w:name w:val="Heading"/>
    <w:next w:val="BodyA"/>
    <w:pPr>
      <w:keepNext/>
      <w:spacing w:line="480" w:lineRule="auto"/>
      <w:jc w:val="both"/>
      <w:outlineLvl w:val="0"/>
    </w:pPr>
    <w:rPr>
      <w:rFonts w:ascii="Arial" w:eastAsia="Arial" w:hAnsi="Arial" w:cs="Arial"/>
      <w:b/>
      <w:bCs/>
      <w:color w:val="000000"/>
      <w:sz w:val="28"/>
      <w:szCs w:val="28"/>
      <w:u w:color="000000"/>
      <w:lang w:val="en-US"/>
    </w:rPr>
  </w:style>
  <w:style w:type="paragraph" w:styleId="TOC2">
    <w:name w:val="toc 2"/>
    <w:pPr>
      <w:tabs>
        <w:tab w:val="right" w:pos="8928"/>
      </w:tabs>
      <w:spacing w:before="60" w:after="120" w:line="336" w:lineRule="auto"/>
      <w:ind w:left="240" w:firstLine="327"/>
    </w:pPr>
    <w:rPr>
      <w:rFonts w:ascii="Helvetica Neue" w:eastAsia="Helvetica Neue" w:hAnsi="Helvetica Neue" w:cs="Helvetica Neue"/>
      <w:color w:val="000000"/>
      <w:sz w:val="26"/>
      <w:szCs w:val="26"/>
      <w:u w:color="000000"/>
      <w:lang w:val="en-US"/>
    </w:rPr>
  </w:style>
  <w:style w:type="paragraph" w:styleId="TOC3">
    <w:name w:val="toc 3"/>
    <w:pPr>
      <w:tabs>
        <w:tab w:val="right" w:pos="8928"/>
      </w:tabs>
      <w:spacing w:after="120" w:line="336" w:lineRule="auto"/>
      <w:ind w:left="240" w:firstLine="610"/>
    </w:pPr>
    <w:rPr>
      <w:rFonts w:ascii="Helvetica Neue" w:eastAsia="Helvetica Neue" w:hAnsi="Helvetica Neue" w:cs="Helvetica Neue"/>
      <w:color w:val="000000"/>
      <w:sz w:val="26"/>
      <w:szCs w:val="26"/>
      <w:u w:color="000000"/>
      <w:lang w:val="en-US"/>
    </w:rPr>
  </w:style>
  <w:style w:type="paragraph" w:customStyle="1" w:styleId="HeadingRedA">
    <w:name w:val="Heading Red A"/>
    <w:next w:val="BodyA"/>
    <w:pPr>
      <w:spacing w:line="480" w:lineRule="auto"/>
      <w:ind w:firstLine="567"/>
      <w:jc w:val="both"/>
      <w:outlineLvl w:val="2"/>
    </w:pPr>
    <w:rPr>
      <w:rFonts w:ascii="Arial" w:eastAsia="Arial" w:hAnsi="Arial" w:cs="Arial"/>
      <w:color w:val="000000"/>
      <w:sz w:val="28"/>
      <w:szCs w:val="28"/>
      <w:u w:color="000000"/>
      <w:lang w:val="en-US"/>
    </w:rPr>
  </w:style>
  <w:style w:type="paragraph" w:styleId="TOC4">
    <w:name w:val="toc 4"/>
    <w:pPr>
      <w:tabs>
        <w:tab w:val="right" w:pos="8928"/>
      </w:tabs>
      <w:spacing w:after="120"/>
    </w:pPr>
    <w:rPr>
      <w:rFonts w:ascii="Helvetica Neue" w:eastAsia="Helvetica Neue" w:hAnsi="Helvetica Neue" w:cs="Helvetica Neue"/>
      <w:color w:val="000000"/>
      <w:sz w:val="28"/>
      <w:szCs w:val="28"/>
      <w:u w:color="000000"/>
      <w:lang w:val="en-US"/>
    </w:rPr>
  </w:style>
  <w:style w:type="character" w:customStyle="1" w:styleId="Hyperlink0">
    <w:name w:val="Hyperlink.0"/>
    <w:rPr>
      <w:lang w:val="en-US"/>
    </w:rPr>
  </w:style>
  <w:style w:type="numbering" w:customStyle="1" w:styleId="Bullet">
    <w:name w:val="Bullet"/>
    <w:pPr>
      <w:numPr>
        <w:numId w:val="1"/>
      </w:numPr>
    </w:pPr>
  </w:style>
  <w:style w:type="paragraph" w:styleId="Caption">
    <w:name w:val="caption"/>
    <w:pPr>
      <w:tabs>
        <w:tab w:val="left" w:pos="1150"/>
      </w:tabs>
    </w:pPr>
    <w:rPr>
      <w:rFonts w:ascii="Helvetica Neue" w:eastAsia="Helvetica Neue" w:hAnsi="Helvetica Neue" w:cs="Helvetica Neue"/>
      <w:b/>
      <w:bCs/>
      <w:caps/>
      <w:color w:val="000000"/>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Body">
    <w:name w:val="Body"/>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spacing w:line="480" w:lineRule="auto"/>
      <w:ind w:firstLine="283"/>
      <w:jc w:val="both"/>
      <w:outlineLvl w:val="1"/>
    </w:pPr>
    <w:rPr>
      <w:rFonts w:ascii="Arial" w:eastAsia="Arial" w:hAnsi="Arial" w:cs="Arial"/>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480" w:lineRule="auto"/>
      <w:jc w:val="both"/>
    </w:pPr>
    <w:rPr>
      <w:rFonts w:ascii="Arial" w:hAnsi="Arial" w:cs="Arial Unicode MS"/>
      <w:color w:val="000000"/>
      <w:sz w:val="24"/>
      <w:szCs w:val="24"/>
      <w:u w:color="000000"/>
      <w:lang w:val="en-US"/>
    </w:rPr>
  </w:style>
  <w:style w:type="paragraph" w:styleId="Title">
    <w:name w:val="Title"/>
    <w:next w:val="BodyA"/>
    <w:pPr>
      <w:keepNext/>
      <w:outlineLvl w:val="3"/>
    </w:pPr>
    <w:rPr>
      <w:rFonts w:ascii="Helvetica Neue" w:hAnsi="Helvetica Neue" w:cs="Arial Unicode MS"/>
      <w:b/>
      <w:bCs/>
      <w:color w:val="000000"/>
      <w:sz w:val="60"/>
      <w:szCs w:val="60"/>
      <w:u w:color="000000"/>
      <w:lang w:val="en-US"/>
    </w:rPr>
  </w:style>
  <w:style w:type="paragraph" w:customStyle="1" w:styleId="BodyB">
    <w:name w:val="Body B"/>
    <w:rPr>
      <w:rFonts w:eastAsia="Times New Roman"/>
      <w:color w:val="000000"/>
      <w:sz w:val="24"/>
      <w:szCs w:val="24"/>
      <w:u w:color="000000"/>
      <w:lang w:val="en-US"/>
    </w:rPr>
  </w:style>
  <w:style w:type="paragraph" w:styleId="TOC1">
    <w:name w:val="toc 1"/>
    <w:pPr>
      <w:tabs>
        <w:tab w:val="right" w:pos="8928"/>
      </w:tabs>
      <w:spacing w:before="60" w:after="120" w:line="336" w:lineRule="auto"/>
      <w:ind w:left="240"/>
    </w:pPr>
    <w:rPr>
      <w:rFonts w:ascii="Helvetica Neue" w:eastAsia="Helvetica Neue" w:hAnsi="Helvetica Neue" w:cs="Helvetica Neue"/>
      <w:b/>
      <w:bCs/>
      <w:color w:val="000000"/>
      <w:sz w:val="26"/>
      <w:szCs w:val="26"/>
      <w:u w:color="000000"/>
      <w:lang w:val="en-US"/>
    </w:rPr>
  </w:style>
  <w:style w:type="paragraph" w:customStyle="1" w:styleId="Heading">
    <w:name w:val="Heading"/>
    <w:next w:val="BodyA"/>
    <w:pPr>
      <w:keepNext/>
      <w:spacing w:line="480" w:lineRule="auto"/>
      <w:jc w:val="both"/>
      <w:outlineLvl w:val="0"/>
    </w:pPr>
    <w:rPr>
      <w:rFonts w:ascii="Arial" w:eastAsia="Arial" w:hAnsi="Arial" w:cs="Arial"/>
      <w:b/>
      <w:bCs/>
      <w:color w:val="000000"/>
      <w:sz w:val="28"/>
      <w:szCs w:val="28"/>
      <w:u w:color="000000"/>
      <w:lang w:val="en-US"/>
    </w:rPr>
  </w:style>
  <w:style w:type="paragraph" w:styleId="TOC2">
    <w:name w:val="toc 2"/>
    <w:pPr>
      <w:tabs>
        <w:tab w:val="right" w:pos="8928"/>
      </w:tabs>
      <w:spacing w:before="60" w:after="120" w:line="336" w:lineRule="auto"/>
      <w:ind w:left="240" w:firstLine="327"/>
    </w:pPr>
    <w:rPr>
      <w:rFonts w:ascii="Helvetica Neue" w:eastAsia="Helvetica Neue" w:hAnsi="Helvetica Neue" w:cs="Helvetica Neue"/>
      <w:color w:val="000000"/>
      <w:sz w:val="26"/>
      <w:szCs w:val="26"/>
      <w:u w:color="000000"/>
      <w:lang w:val="en-US"/>
    </w:rPr>
  </w:style>
  <w:style w:type="paragraph" w:styleId="TOC3">
    <w:name w:val="toc 3"/>
    <w:pPr>
      <w:tabs>
        <w:tab w:val="right" w:pos="8928"/>
      </w:tabs>
      <w:spacing w:after="120" w:line="336" w:lineRule="auto"/>
      <w:ind w:left="240" w:firstLine="610"/>
    </w:pPr>
    <w:rPr>
      <w:rFonts w:ascii="Helvetica Neue" w:eastAsia="Helvetica Neue" w:hAnsi="Helvetica Neue" w:cs="Helvetica Neue"/>
      <w:color w:val="000000"/>
      <w:sz w:val="26"/>
      <w:szCs w:val="26"/>
      <w:u w:color="000000"/>
      <w:lang w:val="en-US"/>
    </w:rPr>
  </w:style>
  <w:style w:type="paragraph" w:customStyle="1" w:styleId="HeadingRedA">
    <w:name w:val="Heading Red A"/>
    <w:next w:val="BodyA"/>
    <w:pPr>
      <w:spacing w:line="480" w:lineRule="auto"/>
      <w:ind w:firstLine="567"/>
      <w:jc w:val="both"/>
      <w:outlineLvl w:val="2"/>
    </w:pPr>
    <w:rPr>
      <w:rFonts w:ascii="Arial" w:eastAsia="Arial" w:hAnsi="Arial" w:cs="Arial"/>
      <w:color w:val="000000"/>
      <w:sz w:val="28"/>
      <w:szCs w:val="28"/>
      <w:u w:color="000000"/>
      <w:lang w:val="en-US"/>
    </w:rPr>
  </w:style>
  <w:style w:type="paragraph" w:styleId="TOC4">
    <w:name w:val="toc 4"/>
    <w:pPr>
      <w:tabs>
        <w:tab w:val="right" w:pos="8928"/>
      </w:tabs>
      <w:spacing w:after="120"/>
    </w:pPr>
    <w:rPr>
      <w:rFonts w:ascii="Helvetica Neue" w:eastAsia="Helvetica Neue" w:hAnsi="Helvetica Neue" w:cs="Helvetica Neue"/>
      <w:color w:val="000000"/>
      <w:sz w:val="28"/>
      <w:szCs w:val="28"/>
      <w:u w:color="000000"/>
      <w:lang w:val="en-US"/>
    </w:rPr>
  </w:style>
  <w:style w:type="character" w:customStyle="1" w:styleId="Hyperlink0">
    <w:name w:val="Hyperlink.0"/>
    <w:rPr>
      <w:lang w:val="en-US"/>
    </w:rPr>
  </w:style>
  <w:style w:type="numbering" w:customStyle="1" w:styleId="Bullet">
    <w:name w:val="Bullet"/>
    <w:pPr>
      <w:numPr>
        <w:numId w:val="1"/>
      </w:numPr>
    </w:pPr>
  </w:style>
  <w:style w:type="paragraph" w:styleId="Caption">
    <w:name w:val="caption"/>
    <w:pPr>
      <w:tabs>
        <w:tab w:val="left" w:pos="1150"/>
      </w:tabs>
    </w:pPr>
    <w:rPr>
      <w:rFonts w:ascii="Helvetica Neue" w:eastAsia="Helvetica Neue" w:hAnsi="Helvetica Neue" w:cs="Helvetica Neue"/>
      <w:b/>
      <w:bCs/>
      <w:caps/>
      <w:color w:val="000000"/>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0.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owdfunder.co.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0.png"/><Relationship Id="rId10" Type="http://schemas.openxmlformats.org/officeDocument/2006/relationships/image" Target="media/image1.png"/><Relationship Id="rId19"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2019-11-03T21:16:00Z</dcterms:created>
  <dcterms:modified xsi:type="dcterms:W3CDTF">2019-11-03T21:16:00Z</dcterms:modified>
</cp:coreProperties>
</file>